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1D0A3700" w:rsidR="00EB410E" w:rsidRPr="00166645" w:rsidRDefault="00EB410E" w:rsidP="00166645">
      <w:pPr>
        <w:pStyle w:val="Header"/>
        <w:tabs>
          <w:tab w:val="right" w:pos="9639"/>
        </w:tabs>
        <w:jc w:val="both"/>
        <w:rPr>
          <w:bCs/>
          <w:noProof w:val="0"/>
          <w:sz w:val="24"/>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314AF8">
        <w:rPr>
          <w:sz w:val="24"/>
          <w:lang w:eastAsia="zh-CN"/>
        </w:rPr>
        <w:t>8</w:t>
      </w:r>
      <w:r w:rsidR="00494A0D">
        <w:rPr>
          <w:sz w:val="24"/>
          <w:lang w:eastAsia="zh-CN"/>
        </w:rPr>
        <w:t>-e</w:t>
      </w:r>
      <w:r w:rsidR="003A6AE5">
        <w:rPr>
          <w:sz w:val="24"/>
          <w:lang w:eastAsia="zh-CN"/>
        </w:rPr>
        <w:t xml:space="preserve">  </w:t>
      </w:r>
      <w:r w:rsidR="00A839CE">
        <w:rPr>
          <w:sz w:val="24"/>
          <w:lang w:eastAsia="zh-CN"/>
        </w:rPr>
        <w:t xml:space="preserve"> </w:t>
      </w:r>
      <w:r w:rsidRPr="00EE0A06">
        <w:rPr>
          <w:bCs/>
          <w:noProof w:val="0"/>
          <w:sz w:val="24"/>
        </w:rPr>
        <w:t xml:space="preserve">                         </w:t>
      </w:r>
      <w:r w:rsidR="008B56A6">
        <w:rPr>
          <w:bCs/>
          <w:noProof w:val="0"/>
          <w:sz w:val="24"/>
        </w:rPr>
        <w:t xml:space="preserve">                          </w:t>
      </w:r>
      <w:r w:rsidR="00F757F3">
        <w:rPr>
          <w:bCs/>
          <w:noProof w:val="0"/>
          <w:sz w:val="24"/>
        </w:rPr>
        <w:t xml:space="preserve"> </w:t>
      </w:r>
      <w:r w:rsidR="00BD7340" w:rsidRPr="00BD7340">
        <w:rPr>
          <w:bCs/>
          <w:noProof w:val="0"/>
          <w:sz w:val="24"/>
        </w:rPr>
        <w:t>R2-2205790</w:t>
      </w:r>
    </w:p>
    <w:p w14:paraId="2B60AF3C" w14:textId="65753F36" w:rsidR="00EB410E" w:rsidRDefault="0051416A" w:rsidP="00494A0D">
      <w:pPr>
        <w:pStyle w:val="CRCoverPage"/>
        <w:tabs>
          <w:tab w:val="left" w:pos="7901"/>
          <w:tab w:val="right" w:pos="9180"/>
        </w:tabs>
        <w:spacing w:after="240"/>
        <w:jc w:val="both"/>
        <w:outlineLvl w:val="0"/>
        <w:rPr>
          <w:b/>
          <w:sz w:val="24"/>
        </w:rPr>
      </w:pPr>
      <w:r>
        <w:rPr>
          <w:b/>
          <w:sz w:val="24"/>
        </w:rPr>
        <w:t>Electronic meeting</w:t>
      </w:r>
      <w:r w:rsidR="00F73A55" w:rsidRPr="00F73A55">
        <w:rPr>
          <w:b/>
          <w:sz w:val="24"/>
        </w:rPr>
        <w:t xml:space="preserve">, </w:t>
      </w:r>
      <w:r w:rsidR="00314AF8">
        <w:rPr>
          <w:b/>
          <w:sz w:val="24"/>
        </w:rPr>
        <w:t xml:space="preserve">May </w:t>
      </w:r>
      <w:r w:rsidR="00DC6C0C">
        <w:rPr>
          <w:b/>
          <w:sz w:val="24"/>
        </w:rPr>
        <w:t>9</w:t>
      </w:r>
      <w:r w:rsidR="00314AF8">
        <w:rPr>
          <w:b/>
          <w:sz w:val="24"/>
        </w:rPr>
        <w:t>-</w:t>
      </w:r>
      <w:r w:rsidR="00DC6C0C">
        <w:rPr>
          <w:b/>
          <w:sz w:val="24"/>
        </w:rPr>
        <w:t>20</w:t>
      </w:r>
      <w:r w:rsidR="00314AF8">
        <w:rPr>
          <w:b/>
          <w:sz w:val="24"/>
        </w:rPr>
        <w:t>,</w:t>
      </w:r>
      <w:r w:rsidR="00605075">
        <w:rPr>
          <w:b/>
          <w:sz w:val="24"/>
        </w:rPr>
        <w:t xml:space="preserve"> 2022</w:t>
      </w:r>
      <w:r w:rsidR="00494A0D">
        <w:rPr>
          <w:b/>
          <w:sz w:val="24"/>
        </w:rPr>
        <w:t xml:space="preserve">          </w:t>
      </w:r>
    </w:p>
    <w:p w14:paraId="372F5655" w14:textId="18ED4A77" w:rsidR="00EB410E" w:rsidRDefault="00EB410E" w:rsidP="00DE1023">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454AA4">
        <w:rPr>
          <w:rFonts w:cs="Arial"/>
          <w:bCs/>
          <w:sz w:val="24"/>
          <w:lang w:val="en-US"/>
        </w:rPr>
        <w:t>6</w:t>
      </w:r>
      <w:r w:rsidR="00314AF8">
        <w:rPr>
          <w:rFonts w:cs="Arial"/>
          <w:bCs/>
          <w:sz w:val="24"/>
          <w:lang w:val="en-US"/>
        </w:rPr>
        <w:t>.15.2.1</w:t>
      </w:r>
    </w:p>
    <w:p w14:paraId="2E0FC3EF" w14:textId="77777777" w:rsidR="00EB410E" w:rsidRDefault="00EB410E" w:rsidP="00DE1023">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55BBD58" w14:textId="47BAF68C" w:rsidR="007C4C5C" w:rsidRPr="007C4C5C" w:rsidRDefault="00EB410E" w:rsidP="007C4C5C">
      <w:pPr>
        <w:tabs>
          <w:tab w:val="left" w:pos="1985"/>
        </w:tabs>
        <w:spacing w:after="120"/>
        <w:ind w:left="2880" w:hanging="2880"/>
        <w:jc w:val="both"/>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9E70D6">
        <w:rPr>
          <w:rFonts w:ascii="Arial" w:hAnsi="Arial" w:cs="Arial"/>
          <w:bCs/>
          <w:sz w:val="24"/>
        </w:rPr>
        <w:t>O</w:t>
      </w:r>
      <w:r w:rsidR="00314AF8">
        <w:rPr>
          <w:rFonts w:ascii="Arial" w:hAnsi="Arial" w:cs="Arial"/>
          <w:bCs/>
          <w:sz w:val="24"/>
        </w:rPr>
        <w:t xml:space="preserve">pen issues </w:t>
      </w:r>
      <w:r w:rsidR="004C5165">
        <w:rPr>
          <w:rFonts w:ascii="Arial" w:hAnsi="Arial" w:cs="Arial"/>
          <w:bCs/>
          <w:sz w:val="24"/>
        </w:rPr>
        <w:t xml:space="preserve">for </w:t>
      </w:r>
      <w:r w:rsidR="009E70D6">
        <w:rPr>
          <w:rFonts w:ascii="Arial" w:hAnsi="Arial" w:cs="Arial"/>
          <w:bCs/>
          <w:sz w:val="24"/>
        </w:rPr>
        <w:t>SL DRX</w:t>
      </w:r>
    </w:p>
    <w:p w14:paraId="7FF9C1D5" w14:textId="1CCE3C2D" w:rsidR="00EB410E" w:rsidRDefault="00EB410E" w:rsidP="00DE1023">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r w:rsidR="00314AF8">
        <w:rPr>
          <w:rFonts w:ascii="Arial" w:hAnsi="Arial" w:cs="Arial"/>
          <w:bCs/>
          <w:sz w:val="24"/>
        </w:rPr>
        <w:t>, Decision</w:t>
      </w:r>
    </w:p>
    <w:p w14:paraId="2B8DF5C7" w14:textId="77777777" w:rsidR="00EB410E" w:rsidRDefault="00EB410E" w:rsidP="00DE1023">
      <w:pPr>
        <w:pStyle w:val="Heading1"/>
        <w:numPr>
          <w:ilvl w:val="0"/>
          <w:numId w:val="2"/>
        </w:numPr>
        <w:jc w:val="both"/>
      </w:pPr>
      <w:r>
        <w:t>Introduction</w:t>
      </w:r>
    </w:p>
    <w:p w14:paraId="348E5F57" w14:textId="5D5045D9" w:rsidR="00294E01" w:rsidRPr="00261FC8" w:rsidRDefault="00242DE3" w:rsidP="789D163B">
      <w:pPr>
        <w:tabs>
          <w:tab w:val="left" w:pos="1327"/>
        </w:tabs>
        <w:jc w:val="both"/>
        <w:rPr>
          <w:highlight w:val="yellow"/>
          <w:lang w:val="en-GB"/>
        </w:rPr>
      </w:pPr>
      <w:bookmarkStart w:id="1" w:name="_Hlk46842767"/>
      <w:bookmarkStart w:id="2" w:name="Proposal_Pattern_Length"/>
      <w:r w:rsidRPr="789D163B">
        <w:rPr>
          <w:lang w:val="en-GB"/>
        </w:rPr>
        <w:t xml:space="preserve">In </w:t>
      </w:r>
      <w:r w:rsidR="00F757F3" w:rsidRPr="789D163B">
        <w:rPr>
          <w:lang w:val="en-GB"/>
        </w:rPr>
        <w:t>RAN2</w:t>
      </w:r>
      <w:r w:rsidR="00494A0D" w:rsidRPr="789D163B">
        <w:rPr>
          <w:lang w:val="en-GB"/>
        </w:rPr>
        <w:t>#11</w:t>
      </w:r>
      <w:r w:rsidR="00314AF8" w:rsidRPr="789D163B">
        <w:rPr>
          <w:lang w:val="en-GB"/>
        </w:rPr>
        <w:t>7</w:t>
      </w:r>
      <w:r w:rsidR="00494A0D" w:rsidRPr="789D163B">
        <w:rPr>
          <w:lang w:val="en-GB"/>
        </w:rPr>
        <w:t>-e</w:t>
      </w:r>
      <w:r w:rsidR="00F757F3" w:rsidRPr="789D163B">
        <w:rPr>
          <w:lang w:val="en-GB"/>
        </w:rPr>
        <w:t xml:space="preserve"> meeting, </w:t>
      </w:r>
      <w:r w:rsidR="00314AF8" w:rsidRPr="789D163B">
        <w:rPr>
          <w:lang w:val="en-GB"/>
        </w:rPr>
        <w:t>several open issues related to SL DRX procedure were discussed and closed and the WI was declared complete from RAN2 perspective</w:t>
      </w:r>
      <w:r w:rsidR="006B486E" w:rsidRPr="789D163B">
        <w:rPr>
          <w:lang w:val="en-GB"/>
        </w:rPr>
        <w:t xml:space="preserve"> [1]</w:t>
      </w:r>
      <w:r w:rsidR="00314AF8" w:rsidRPr="789D163B">
        <w:rPr>
          <w:lang w:val="en-GB"/>
        </w:rPr>
        <w:t xml:space="preserve">. However, </w:t>
      </w:r>
      <w:r w:rsidR="00F757F3" w:rsidRPr="789D163B">
        <w:rPr>
          <w:lang w:val="en-GB"/>
        </w:rPr>
        <w:t xml:space="preserve">there </w:t>
      </w:r>
      <w:r w:rsidR="00314AF8" w:rsidRPr="789D163B">
        <w:rPr>
          <w:lang w:val="en-GB"/>
        </w:rPr>
        <w:t>are still some open issues that need to be addressed, particularly related to the SL DRX configuration procedure.</w:t>
      </w:r>
      <w:r w:rsidR="00494A0D" w:rsidRPr="789D163B">
        <w:rPr>
          <w:lang w:val="en-GB"/>
        </w:rPr>
        <w:t xml:space="preserve"> I</w:t>
      </w:r>
      <w:r w:rsidR="00635039" w:rsidRPr="789D163B">
        <w:rPr>
          <w:lang w:val="en-GB"/>
        </w:rPr>
        <w:t xml:space="preserve">n this contribution, we </w:t>
      </w:r>
      <w:r w:rsidR="00605075" w:rsidRPr="789D163B">
        <w:rPr>
          <w:lang w:val="en-GB"/>
        </w:rPr>
        <w:t xml:space="preserve">seek to </w:t>
      </w:r>
      <w:r w:rsidR="00314AF8" w:rsidRPr="789D163B">
        <w:rPr>
          <w:lang w:val="en-GB"/>
        </w:rPr>
        <w:t>address these issues</w:t>
      </w:r>
      <w:r w:rsidR="00605075" w:rsidRPr="789D163B">
        <w:rPr>
          <w:lang w:val="en-GB"/>
        </w:rPr>
        <w:t xml:space="preserve"> and present our view</w:t>
      </w:r>
      <w:r w:rsidR="00635039" w:rsidRPr="789D163B">
        <w:rPr>
          <w:lang w:val="en-GB"/>
        </w:rPr>
        <w:t>.</w:t>
      </w:r>
    </w:p>
    <w:bookmarkEnd w:id="1"/>
    <w:p w14:paraId="53D528AC" w14:textId="7D89051D" w:rsidR="007B05E4" w:rsidRDefault="006A59DF" w:rsidP="00605075">
      <w:pPr>
        <w:pStyle w:val="Heading1"/>
        <w:numPr>
          <w:ilvl w:val="0"/>
          <w:numId w:val="2"/>
        </w:numPr>
        <w:jc w:val="both"/>
      </w:pPr>
      <w:r>
        <w:t>Discussion</w:t>
      </w:r>
    </w:p>
    <w:p w14:paraId="20E1521C" w14:textId="200C11EE" w:rsidR="00605075" w:rsidRDefault="00314AF8" w:rsidP="5E2F34F5">
      <w:pPr>
        <w:rPr>
          <w:lang w:val="en-GB"/>
        </w:rPr>
      </w:pPr>
      <w:r w:rsidRPr="1B18D0D7">
        <w:rPr>
          <w:lang w:val="en-GB"/>
        </w:rPr>
        <w:t xml:space="preserve">One aspect that has been discussed for quite a few meetings but still has not been resolved is how the RX UE rejects the SL DRX configuration provided by the TX UE, in case it is not able to comply with this configuration for some reason. </w:t>
      </w:r>
      <w:r w:rsidR="00DD7A76" w:rsidRPr="1B18D0D7">
        <w:rPr>
          <w:lang w:val="en-GB"/>
        </w:rPr>
        <w:t>Company views on this aspect were quite mixed and no resolution has been reached. From a technical perspective, both options are feasible and can be adopted</w:t>
      </w:r>
      <w:r w:rsidR="00605075" w:rsidRPr="1B18D0D7">
        <w:rPr>
          <w:lang w:val="en-GB"/>
        </w:rPr>
        <w:t>.</w:t>
      </w:r>
      <w:r w:rsidR="00DD7A76" w:rsidRPr="1B18D0D7">
        <w:rPr>
          <w:lang w:val="en-GB"/>
        </w:rPr>
        <w:t xml:space="preserve"> However, for the case when </w:t>
      </w:r>
      <w:r w:rsidR="00DD7A76" w:rsidRPr="1B18D0D7">
        <w:rPr>
          <w:i/>
          <w:iCs/>
          <w:lang w:val="en-GB"/>
        </w:rPr>
        <w:t>RRCReconfigurationCompleteSidelink</w:t>
      </w:r>
      <w:r w:rsidR="00DD7A76" w:rsidRPr="1B18D0D7">
        <w:rPr>
          <w:lang w:val="en-GB"/>
        </w:rPr>
        <w:t xml:space="preserve"> message is adopted to communicate the rejection, a new indication within the </w:t>
      </w:r>
      <w:r w:rsidR="00DD7A76" w:rsidRPr="00EB2F3B">
        <w:rPr>
          <w:i/>
          <w:iCs/>
          <w:lang w:val="en-GB"/>
        </w:rPr>
        <w:t>RRCReconfigurationCompleteSidelink</w:t>
      </w:r>
      <w:r w:rsidR="00DD7A76" w:rsidRPr="1B18D0D7">
        <w:rPr>
          <w:lang w:val="en-GB"/>
        </w:rPr>
        <w:t xml:space="preserve"> message needs to be added to let the TX UE know whether the RX UE is accepting or rejecting the SL DRX configuration. In such a case, the RX UE shall apply the rest of the SL configuration and only the SL DRX configuration may or may not be applied based on the received indication. On the other hand, if </w:t>
      </w:r>
      <w:r w:rsidR="00DD7A76" w:rsidRPr="1B18D0D7">
        <w:rPr>
          <w:i/>
          <w:iCs/>
          <w:lang w:val="en-GB"/>
        </w:rPr>
        <w:t>RRCReconfigurationFailureSidelink</w:t>
      </w:r>
      <w:r w:rsidR="00DD7A76" w:rsidRPr="1B18D0D7">
        <w:rPr>
          <w:lang w:val="en-GB"/>
        </w:rPr>
        <w:t xml:space="preserve"> is adopted as the way of rejection, the need for adding a specific indication depends on the RX UE’s </w:t>
      </w:r>
      <w:r w:rsidR="00D64412" w:rsidRPr="1B18D0D7">
        <w:rPr>
          <w:lang w:val="en-GB"/>
        </w:rPr>
        <w:t>behaviour</w:t>
      </w:r>
      <w:r w:rsidR="00DD7A76" w:rsidRPr="1B18D0D7">
        <w:rPr>
          <w:lang w:val="en-GB"/>
        </w:rPr>
        <w:t>. The indication is not needed if RX UE shall reject the entire SL configuration.</w:t>
      </w:r>
    </w:p>
    <w:p w14:paraId="30764681" w14:textId="55EB6D0C" w:rsidR="00DD7A76" w:rsidRDefault="00DD7A76" w:rsidP="00DD7A76">
      <w:pPr>
        <w:ind w:left="1440" w:hanging="1440"/>
        <w:rPr>
          <w:rFonts w:eastAsia="Times New Roman"/>
          <w:b/>
          <w:bCs/>
          <w:iCs/>
          <w:lang w:val="en-GB" w:eastAsia="zh-CN"/>
        </w:rPr>
      </w:pPr>
      <w:r>
        <w:rPr>
          <w:rFonts w:eastAsia="Times New Roman"/>
          <w:b/>
          <w:bCs/>
          <w:u w:val="single"/>
          <w:lang w:val="en-GB" w:eastAsia="zh-CN"/>
        </w:rPr>
        <w:t>Observation 1:</w:t>
      </w:r>
      <w:r>
        <w:rPr>
          <w:rFonts w:eastAsia="Times New Roman"/>
          <w:b/>
          <w:bCs/>
          <w:lang w:val="en-GB" w:eastAsia="zh-CN"/>
        </w:rPr>
        <w:tab/>
      </w:r>
      <w:r>
        <w:rPr>
          <w:rFonts w:eastAsia="Times New Roman"/>
          <w:b/>
          <w:bCs/>
          <w:iCs/>
          <w:lang w:val="en-GB" w:eastAsia="zh-CN"/>
        </w:rPr>
        <w:t xml:space="preserve">In case </w:t>
      </w:r>
      <w:r w:rsidRPr="00D64412">
        <w:rPr>
          <w:rFonts w:eastAsia="Times New Roman"/>
          <w:b/>
          <w:bCs/>
          <w:i/>
          <w:lang w:val="en-GB" w:eastAsia="zh-CN"/>
        </w:rPr>
        <w:t>RRCReconfigurationCompleteSidelink</w:t>
      </w:r>
      <w:r>
        <w:rPr>
          <w:rFonts w:eastAsia="Times New Roman"/>
          <w:b/>
          <w:bCs/>
          <w:iCs/>
          <w:lang w:val="en-GB" w:eastAsia="zh-CN"/>
        </w:rPr>
        <w:t xml:space="preserve"> is used for rejection of SL DRX configuration, a new indication is needed to inform the TX UE that SL DRX configuration is rejected</w:t>
      </w:r>
      <w:r w:rsidRPr="00C13810">
        <w:rPr>
          <w:rFonts w:eastAsia="Times New Roman"/>
          <w:b/>
          <w:bCs/>
          <w:iCs/>
          <w:lang w:val="en-GB" w:eastAsia="zh-CN"/>
        </w:rPr>
        <w:t>.</w:t>
      </w:r>
    </w:p>
    <w:p w14:paraId="0BF5D151" w14:textId="0A189342" w:rsidR="00DD7A76" w:rsidRPr="00772729" w:rsidRDefault="00DD7A76" w:rsidP="00772729">
      <w:pPr>
        <w:ind w:left="1440" w:hanging="1440"/>
        <w:rPr>
          <w:rFonts w:eastAsia="Times New Roman"/>
          <w:b/>
          <w:bCs/>
          <w:iCs/>
          <w:lang w:val="en-GB" w:eastAsia="zh-CN"/>
        </w:rPr>
      </w:pPr>
      <w:r>
        <w:rPr>
          <w:rFonts w:eastAsia="Times New Roman"/>
          <w:b/>
          <w:bCs/>
          <w:u w:val="single"/>
          <w:lang w:val="en-GB" w:eastAsia="zh-CN"/>
        </w:rPr>
        <w:t xml:space="preserve">Observation </w:t>
      </w:r>
      <w:r w:rsidR="00B01A96">
        <w:rPr>
          <w:rFonts w:eastAsia="Times New Roman"/>
          <w:b/>
          <w:bCs/>
          <w:u w:val="single"/>
          <w:lang w:val="en-GB" w:eastAsia="zh-CN"/>
        </w:rPr>
        <w:t>2</w:t>
      </w:r>
      <w:r>
        <w:rPr>
          <w:rFonts w:eastAsia="Times New Roman"/>
          <w:b/>
          <w:bCs/>
          <w:u w:val="single"/>
          <w:lang w:val="en-GB" w:eastAsia="zh-CN"/>
        </w:rPr>
        <w:t>:</w:t>
      </w:r>
      <w:r>
        <w:rPr>
          <w:rFonts w:eastAsia="Times New Roman"/>
          <w:b/>
          <w:bCs/>
          <w:lang w:val="en-GB" w:eastAsia="zh-CN"/>
        </w:rPr>
        <w:tab/>
      </w:r>
      <w:r>
        <w:rPr>
          <w:rFonts w:eastAsia="Times New Roman"/>
          <w:b/>
          <w:bCs/>
          <w:iCs/>
          <w:lang w:val="en-GB" w:eastAsia="zh-CN"/>
        </w:rPr>
        <w:t xml:space="preserve">In case </w:t>
      </w:r>
      <w:r w:rsidRPr="00D64412">
        <w:rPr>
          <w:rFonts w:eastAsia="Times New Roman"/>
          <w:b/>
          <w:bCs/>
          <w:i/>
          <w:lang w:val="en-GB" w:eastAsia="zh-CN"/>
        </w:rPr>
        <w:t>RRCReconfigurationFailureSidelink</w:t>
      </w:r>
      <w:r>
        <w:rPr>
          <w:rFonts w:eastAsia="Times New Roman"/>
          <w:b/>
          <w:bCs/>
          <w:iCs/>
          <w:lang w:val="en-GB" w:eastAsia="zh-CN"/>
        </w:rPr>
        <w:t xml:space="preserve"> is used for rejection of SL DRX configuration, a new indication </w:t>
      </w:r>
      <w:r w:rsidR="00772729">
        <w:rPr>
          <w:rFonts w:eastAsia="Times New Roman"/>
          <w:b/>
          <w:bCs/>
          <w:iCs/>
          <w:lang w:val="en-GB" w:eastAsia="zh-CN"/>
        </w:rPr>
        <w:t>may be needed if the RX UE only rejects the SL DRX related configuration</w:t>
      </w:r>
      <w:r w:rsidRPr="00C13810">
        <w:rPr>
          <w:rFonts w:eastAsia="Times New Roman"/>
          <w:b/>
          <w:bCs/>
          <w:iCs/>
          <w:lang w:val="en-GB" w:eastAsia="zh-CN"/>
        </w:rPr>
        <w:t>.</w:t>
      </w:r>
      <w:r w:rsidR="00772729">
        <w:rPr>
          <w:rFonts w:eastAsia="Times New Roman"/>
          <w:b/>
          <w:bCs/>
          <w:iCs/>
          <w:lang w:val="en-GB" w:eastAsia="zh-CN"/>
        </w:rPr>
        <w:t xml:space="preserve"> Otherwise, no indication may be needed.</w:t>
      </w:r>
    </w:p>
    <w:p w14:paraId="4C96B0FE" w14:textId="6A7E2046" w:rsidR="00DD7A76" w:rsidRDefault="00DD7A76" w:rsidP="00605075">
      <w:pPr>
        <w:rPr>
          <w:lang w:val="en-GB" w:eastAsia="x-none"/>
        </w:rPr>
      </w:pPr>
      <w:r>
        <w:rPr>
          <w:lang w:val="en-GB" w:eastAsia="x-none"/>
        </w:rPr>
        <w:t xml:space="preserve">Based on the above, we </w:t>
      </w:r>
      <w:r w:rsidR="00772729">
        <w:rPr>
          <w:lang w:val="en-GB" w:eastAsia="x-none"/>
        </w:rPr>
        <w:t xml:space="preserve">slightly prefer the use of </w:t>
      </w:r>
      <w:r w:rsidR="00772729" w:rsidRPr="00D64412">
        <w:rPr>
          <w:i/>
          <w:iCs/>
          <w:lang w:val="en-GB" w:eastAsia="x-none"/>
        </w:rPr>
        <w:t>RRCReconfigurationCompleteSidelink</w:t>
      </w:r>
      <w:r w:rsidR="00772729">
        <w:rPr>
          <w:lang w:val="en-GB" w:eastAsia="x-none"/>
        </w:rPr>
        <w:t xml:space="preserve"> message, since we do not see the rejection of the SL DRX configuration as a configuration failure per se. Clearly, this is a special case which is not comparable to, for instance, the reconfiguration failure over Uu. </w:t>
      </w:r>
    </w:p>
    <w:p w14:paraId="258BA111" w14:textId="6BD5FC80" w:rsidR="00902B39" w:rsidRDefault="005B275D" w:rsidP="1B18D0D7">
      <w:pPr>
        <w:tabs>
          <w:tab w:val="left" w:pos="1701"/>
        </w:tabs>
        <w:spacing w:after="120"/>
        <w:ind w:left="1440" w:hanging="1440"/>
        <w:jc w:val="both"/>
        <w:rPr>
          <w:rFonts w:eastAsia="Times New Roman"/>
          <w:b/>
          <w:bCs/>
          <w:lang w:val="en-GB" w:eastAsia="zh-CN"/>
        </w:rPr>
      </w:pPr>
      <w:r w:rsidRPr="1B18D0D7">
        <w:rPr>
          <w:rFonts w:eastAsia="Times New Roman"/>
          <w:b/>
          <w:bCs/>
          <w:u w:val="single"/>
          <w:lang w:val="en-GB" w:eastAsia="zh-CN"/>
        </w:rPr>
        <w:t xml:space="preserve">Proposal </w:t>
      </w:r>
      <w:r w:rsidR="00D269E5" w:rsidRPr="1B18D0D7">
        <w:rPr>
          <w:rFonts w:eastAsia="Times New Roman"/>
          <w:b/>
          <w:bCs/>
          <w:u w:val="single"/>
          <w:lang w:val="en-GB" w:eastAsia="zh-CN"/>
        </w:rPr>
        <w:t>1</w:t>
      </w:r>
      <w:r w:rsidRPr="1B18D0D7">
        <w:rPr>
          <w:rFonts w:eastAsia="Times New Roman"/>
          <w:b/>
          <w:bCs/>
          <w:u w:val="single"/>
          <w:lang w:val="en-GB" w:eastAsia="zh-CN"/>
        </w:rPr>
        <w:t>:</w:t>
      </w:r>
      <w:r>
        <w:tab/>
      </w:r>
      <w:r w:rsidRPr="1B18D0D7">
        <w:rPr>
          <w:rFonts w:eastAsia="Times New Roman"/>
          <w:b/>
          <w:bCs/>
          <w:lang w:val="en-GB" w:eastAsia="zh-CN"/>
        </w:rPr>
        <w:t xml:space="preserve">RAN2 is proposed to </w:t>
      </w:r>
      <w:r w:rsidR="00772729" w:rsidRPr="1B18D0D7">
        <w:rPr>
          <w:rFonts w:eastAsia="Times New Roman"/>
          <w:b/>
          <w:bCs/>
          <w:lang w:val="en-GB" w:eastAsia="zh-CN"/>
        </w:rPr>
        <w:t>agree</w:t>
      </w:r>
      <w:r w:rsidRPr="1B18D0D7">
        <w:rPr>
          <w:rFonts w:eastAsia="Times New Roman"/>
          <w:b/>
          <w:bCs/>
          <w:lang w:val="en-GB" w:eastAsia="zh-CN"/>
        </w:rPr>
        <w:t xml:space="preserve"> that </w:t>
      </w:r>
      <w:r w:rsidR="00772729" w:rsidRPr="1B18D0D7">
        <w:rPr>
          <w:rFonts w:eastAsia="Times New Roman"/>
          <w:b/>
          <w:bCs/>
          <w:i/>
          <w:iCs/>
          <w:lang w:val="en-GB" w:eastAsia="zh-CN"/>
        </w:rPr>
        <w:t>RRCReconfigurationCompleteSidelink</w:t>
      </w:r>
      <w:r w:rsidR="00772729" w:rsidRPr="1B18D0D7">
        <w:rPr>
          <w:rFonts w:eastAsia="Times New Roman"/>
          <w:b/>
          <w:bCs/>
          <w:lang w:val="en-GB" w:eastAsia="zh-CN"/>
        </w:rPr>
        <w:t xml:space="preserve"> is used for rejection of SL DRX configuration by the RX UE</w:t>
      </w:r>
      <w:r w:rsidR="00192DFA" w:rsidRPr="1B18D0D7">
        <w:rPr>
          <w:rFonts w:eastAsia="Times New Roman"/>
          <w:b/>
          <w:bCs/>
          <w:lang w:val="en-GB" w:eastAsia="zh-CN"/>
        </w:rPr>
        <w:t>.</w:t>
      </w:r>
      <w:r w:rsidR="00772729" w:rsidRPr="1B18D0D7">
        <w:rPr>
          <w:rFonts w:eastAsia="Times New Roman"/>
          <w:b/>
          <w:bCs/>
          <w:lang w:val="en-GB" w:eastAsia="zh-CN"/>
        </w:rPr>
        <w:t xml:space="preserve"> In this case, an additional indication within the </w:t>
      </w:r>
      <w:r w:rsidR="00772729" w:rsidRPr="1B18D0D7">
        <w:rPr>
          <w:rFonts w:eastAsia="Times New Roman"/>
          <w:b/>
          <w:bCs/>
          <w:i/>
          <w:iCs/>
          <w:lang w:val="en-GB" w:eastAsia="zh-CN"/>
        </w:rPr>
        <w:t>RRCReconfigurationCompleteSidelink</w:t>
      </w:r>
      <w:r w:rsidR="00772729" w:rsidRPr="1B18D0D7">
        <w:rPr>
          <w:rFonts w:eastAsia="Times New Roman"/>
          <w:b/>
          <w:bCs/>
          <w:lang w:val="en-GB" w:eastAsia="zh-CN"/>
        </w:rPr>
        <w:t xml:space="preserve"> message is defined to indicate the rejection of SL DRX related configuration by the RX UE which can nonetheless apply the non-DRX related configuration.</w:t>
      </w:r>
    </w:p>
    <w:p w14:paraId="0BAA62A4" w14:textId="7C4A42B6" w:rsidR="00772729" w:rsidRDefault="00772729" w:rsidP="1B18D0D7">
      <w:pPr>
        <w:tabs>
          <w:tab w:val="left" w:pos="1701"/>
        </w:tabs>
        <w:spacing w:after="120"/>
        <w:jc w:val="both"/>
        <w:rPr>
          <w:rFonts w:eastAsia="Times New Roman"/>
          <w:lang w:val="en-GB" w:eastAsia="zh-CN"/>
        </w:rPr>
      </w:pPr>
      <w:r w:rsidRPr="1B18D0D7">
        <w:rPr>
          <w:rFonts w:eastAsia="Times New Roman"/>
          <w:lang w:val="en-GB" w:eastAsia="zh-CN"/>
        </w:rPr>
        <w:t xml:space="preserve">A related issue is </w:t>
      </w:r>
      <w:r w:rsidR="00100FEC" w:rsidRPr="1B18D0D7">
        <w:rPr>
          <w:rFonts w:eastAsia="Times New Roman"/>
          <w:lang w:val="en-GB" w:eastAsia="zh-CN"/>
        </w:rPr>
        <w:t xml:space="preserve">that </w:t>
      </w:r>
      <w:r w:rsidRPr="1B18D0D7">
        <w:rPr>
          <w:rFonts w:eastAsia="Times New Roman"/>
          <w:lang w:val="en-GB" w:eastAsia="zh-CN"/>
        </w:rPr>
        <w:t xml:space="preserve">in case </w:t>
      </w:r>
      <w:r w:rsidR="00100FEC" w:rsidRPr="1B18D0D7">
        <w:rPr>
          <w:rFonts w:eastAsia="Times New Roman"/>
          <w:lang w:val="en-GB" w:eastAsia="zh-CN"/>
        </w:rPr>
        <w:t xml:space="preserve">of non-initial DRX configuration (i.e. the UE has applied a dedicated SL DRX configuration prior for this link), does the RX UE continue to use the previously adopted SL DRX configuration. If we go with the </w:t>
      </w:r>
      <w:r w:rsidR="00100FEC" w:rsidRPr="00EB2F3B">
        <w:rPr>
          <w:rFonts w:eastAsia="Times New Roman"/>
          <w:i/>
          <w:iCs/>
          <w:lang w:val="en-GB" w:eastAsia="zh-CN"/>
        </w:rPr>
        <w:t>RRCReconfigurationCompleteSidelink</w:t>
      </w:r>
      <w:r w:rsidR="00100FEC" w:rsidRPr="1B18D0D7">
        <w:rPr>
          <w:rFonts w:eastAsia="Times New Roman"/>
          <w:lang w:val="en-GB" w:eastAsia="zh-CN"/>
        </w:rPr>
        <w:t xml:space="preserve"> option with an explicit indication of the reject, it seems straightforward that the RX UE can continue using the configuration accepted in the latest </w:t>
      </w:r>
      <w:r w:rsidR="00100FEC" w:rsidRPr="00EB2F3B">
        <w:rPr>
          <w:rFonts w:eastAsia="Times New Roman"/>
          <w:i/>
          <w:iCs/>
          <w:lang w:val="en-GB" w:eastAsia="zh-CN"/>
        </w:rPr>
        <w:t>RRCReconfigurationSidelink</w:t>
      </w:r>
      <w:r w:rsidR="00100FEC" w:rsidRPr="1B18D0D7">
        <w:rPr>
          <w:rFonts w:eastAsia="Times New Roman"/>
          <w:lang w:val="en-GB" w:eastAsia="zh-CN"/>
        </w:rPr>
        <w:t xml:space="preserve"> message. This also means that if the peer UEs are not able to come to a resolution on SL DRX configuration, there is a configuration to fall back on (rather than fall to default/no DRX).</w:t>
      </w:r>
    </w:p>
    <w:p w14:paraId="3DBAD84F" w14:textId="5C50459E" w:rsidR="00100FEC" w:rsidRDefault="00100FEC" w:rsidP="00100FEC">
      <w:pPr>
        <w:tabs>
          <w:tab w:val="left" w:pos="1701"/>
        </w:tabs>
        <w:spacing w:after="120"/>
        <w:ind w:left="1440" w:hanging="1440"/>
        <w:jc w:val="both"/>
        <w:rPr>
          <w:rFonts w:eastAsia="Times New Roman"/>
          <w:b/>
          <w:bCs/>
          <w:iCs/>
          <w:lang w:val="en-GB" w:eastAsia="zh-CN"/>
        </w:rPr>
      </w:pPr>
      <w:r>
        <w:rPr>
          <w:rFonts w:eastAsia="Times New Roman"/>
          <w:b/>
          <w:bCs/>
          <w:u w:val="single"/>
          <w:lang w:val="en-GB" w:eastAsia="zh-CN"/>
        </w:rPr>
        <w:lastRenderedPageBreak/>
        <w:t>Proposal 2:</w:t>
      </w:r>
      <w:r>
        <w:rPr>
          <w:rFonts w:eastAsia="Times New Roman"/>
          <w:b/>
          <w:bCs/>
          <w:lang w:val="en-GB" w:eastAsia="zh-CN"/>
        </w:rPr>
        <w:tab/>
      </w:r>
      <w:r w:rsidRPr="00100FEC">
        <w:rPr>
          <w:rFonts w:eastAsia="Times New Roman"/>
          <w:b/>
          <w:bCs/>
          <w:iCs/>
          <w:lang w:val="en-GB" w:eastAsia="zh-CN"/>
        </w:rPr>
        <w:t xml:space="preserve">In case </w:t>
      </w:r>
      <w:r w:rsidRPr="00D64412">
        <w:rPr>
          <w:rFonts w:eastAsia="Times New Roman"/>
          <w:b/>
          <w:bCs/>
          <w:i/>
          <w:lang w:val="en-GB" w:eastAsia="zh-CN"/>
        </w:rPr>
        <w:t>RRCReconfigurationCompleteSidelink</w:t>
      </w:r>
      <w:r w:rsidRPr="00100FEC">
        <w:rPr>
          <w:rFonts w:eastAsia="Times New Roman"/>
          <w:b/>
          <w:bCs/>
          <w:iCs/>
          <w:lang w:val="en-GB" w:eastAsia="zh-CN"/>
        </w:rPr>
        <w:t xml:space="preserve"> is adopted, after reject</w:t>
      </w:r>
      <w:r>
        <w:rPr>
          <w:rFonts w:eastAsia="Times New Roman"/>
          <w:b/>
          <w:bCs/>
          <w:iCs/>
          <w:lang w:val="en-GB" w:eastAsia="zh-CN"/>
        </w:rPr>
        <w:t>ion of</w:t>
      </w:r>
      <w:r w:rsidRPr="00100FEC">
        <w:rPr>
          <w:rFonts w:eastAsia="Times New Roman"/>
          <w:b/>
          <w:bCs/>
          <w:iCs/>
          <w:lang w:val="en-GB" w:eastAsia="zh-CN"/>
        </w:rPr>
        <w:t xml:space="preserve"> the </w:t>
      </w:r>
      <w:r>
        <w:rPr>
          <w:rFonts w:eastAsia="Times New Roman"/>
          <w:b/>
          <w:bCs/>
          <w:iCs/>
          <w:lang w:val="en-GB" w:eastAsia="zh-CN"/>
        </w:rPr>
        <w:t xml:space="preserve">SL </w:t>
      </w:r>
      <w:r w:rsidRPr="00100FEC">
        <w:rPr>
          <w:rFonts w:eastAsia="Times New Roman"/>
          <w:b/>
          <w:bCs/>
          <w:iCs/>
          <w:lang w:val="en-GB" w:eastAsia="zh-CN"/>
        </w:rPr>
        <w:t>DRX configuration, the Rx</w:t>
      </w:r>
      <w:r>
        <w:rPr>
          <w:rFonts w:eastAsia="Times New Roman"/>
          <w:b/>
          <w:bCs/>
          <w:iCs/>
          <w:lang w:val="en-GB" w:eastAsia="zh-CN"/>
        </w:rPr>
        <w:t xml:space="preserve"> </w:t>
      </w:r>
      <w:r w:rsidRPr="00100FEC">
        <w:rPr>
          <w:rFonts w:eastAsia="Times New Roman"/>
          <w:b/>
          <w:bCs/>
          <w:iCs/>
          <w:lang w:val="en-GB" w:eastAsia="zh-CN"/>
        </w:rPr>
        <w:t xml:space="preserve">UE </w:t>
      </w:r>
      <w:r>
        <w:rPr>
          <w:rFonts w:eastAsia="Times New Roman"/>
          <w:b/>
          <w:bCs/>
          <w:iCs/>
          <w:lang w:val="en-GB" w:eastAsia="zh-CN"/>
        </w:rPr>
        <w:t xml:space="preserve">shall continue </w:t>
      </w:r>
      <w:r w:rsidRPr="00100FEC">
        <w:rPr>
          <w:rFonts w:eastAsia="Times New Roman"/>
          <w:b/>
          <w:bCs/>
          <w:iCs/>
          <w:lang w:val="en-GB" w:eastAsia="zh-CN"/>
        </w:rPr>
        <w:t>us</w:t>
      </w:r>
      <w:r>
        <w:rPr>
          <w:rFonts w:eastAsia="Times New Roman"/>
          <w:b/>
          <w:bCs/>
          <w:iCs/>
          <w:lang w:val="en-GB" w:eastAsia="zh-CN"/>
        </w:rPr>
        <w:t>ing</w:t>
      </w:r>
      <w:r w:rsidRPr="00100FEC">
        <w:rPr>
          <w:rFonts w:eastAsia="Times New Roman"/>
          <w:b/>
          <w:bCs/>
          <w:iCs/>
          <w:lang w:val="en-GB" w:eastAsia="zh-CN"/>
        </w:rPr>
        <w:t xml:space="preserve"> the SL DRX configuration </w:t>
      </w:r>
      <w:r>
        <w:rPr>
          <w:rFonts w:eastAsia="Times New Roman"/>
          <w:b/>
          <w:bCs/>
          <w:iCs/>
          <w:lang w:val="en-GB" w:eastAsia="zh-CN"/>
        </w:rPr>
        <w:t>accepted previously (</w:t>
      </w:r>
      <w:r w:rsidRPr="00100FEC">
        <w:rPr>
          <w:rFonts w:eastAsia="Times New Roman"/>
          <w:b/>
          <w:bCs/>
          <w:iCs/>
          <w:lang w:val="en-GB" w:eastAsia="zh-CN"/>
        </w:rPr>
        <w:t>until a new SL DRX configuration</w:t>
      </w:r>
      <w:r>
        <w:rPr>
          <w:rFonts w:eastAsia="Times New Roman"/>
          <w:b/>
          <w:bCs/>
          <w:iCs/>
          <w:lang w:val="en-GB" w:eastAsia="zh-CN"/>
        </w:rPr>
        <w:t xml:space="preserve"> is received and accepted).</w:t>
      </w:r>
    </w:p>
    <w:p w14:paraId="47EE40C5" w14:textId="0E8BB217" w:rsidR="00100FEC" w:rsidRDefault="00100FEC" w:rsidP="00123595">
      <w:pPr>
        <w:tabs>
          <w:tab w:val="left" w:pos="1701"/>
        </w:tabs>
        <w:spacing w:after="120"/>
        <w:jc w:val="both"/>
        <w:rPr>
          <w:rFonts w:eastAsia="Times New Roman"/>
          <w:iCs/>
          <w:lang w:val="en-GB" w:eastAsia="zh-CN"/>
        </w:rPr>
      </w:pPr>
    </w:p>
    <w:p w14:paraId="4DA84BD8" w14:textId="58B592AE" w:rsidR="00E810A8" w:rsidRDefault="00A65C98" w:rsidP="1B18D0D7">
      <w:pPr>
        <w:tabs>
          <w:tab w:val="left" w:pos="1701"/>
        </w:tabs>
        <w:spacing w:after="120"/>
        <w:jc w:val="both"/>
        <w:rPr>
          <w:rFonts w:eastAsia="Times New Roman"/>
          <w:lang w:val="en-GB" w:eastAsia="zh-CN"/>
        </w:rPr>
      </w:pPr>
      <w:r w:rsidRPr="1B18D0D7">
        <w:rPr>
          <w:rFonts w:eastAsia="Times New Roman"/>
          <w:lang w:val="en-GB" w:eastAsia="zh-CN"/>
        </w:rPr>
        <w:t>Another issue which needs to be resolved from</w:t>
      </w:r>
      <w:r w:rsidR="00E810A8" w:rsidRPr="1B18D0D7">
        <w:rPr>
          <w:rFonts w:eastAsia="Times New Roman"/>
          <w:lang w:val="en-GB" w:eastAsia="zh-CN"/>
        </w:rPr>
        <w:t xml:space="preserve"> the last meeting relates to the configuration of the SL HARQ RTT timer for resource pool where PSFCH is not configured and SCI does not indicate scheduling of a retransmission resource. Specifically for this case, it is clear that there is no need to wait for HARQ feedback or scheduled retransmission resource, therefore the timer could be set to any arbitrary non-zero value. Since there is no  minimum gap requirement from RAN1, so in our view, using a fixed value of zero for the HARQ RTT timer in this case is reasonable. Therefore, we propose to fix the timer length to zero in this case.</w:t>
      </w:r>
    </w:p>
    <w:p w14:paraId="76CAA339" w14:textId="20EDE0D9" w:rsidR="00E810A8" w:rsidRDefault="00E810A8" w:rsidP="00E810A8">
      <w:pPr>
        <w:tabs>
          <w:tab w:val="left" w:pos="1701"/>
        </w:tabs>
        <w:spacing w:after="120"/>
        <w:ind w:left="1440" w:hanging="1440"/>
        <w:jc w:val="both"/>
        <w:rPr>
          <w:rFonts w:eastAsia="Times New Roman"/>
          <w:b/>
          <w:bCs/>
          <w:iCs/>
          <w:lang w:val="en-GB" w:eastAsia="zh-CN"/>
        </w:rPr>
      </w:pPr>
      <w:r>
        <w:rPr>
          <w:rFonts w:eastAsia="Times New Roman"/>
          <w:b/>
          <w:bCs/>
          <w:u w:val="single"/>
          <w:lang w:val="en-GB" w:eastAsia="zh-CN"/>
        </w:rPr>
        <w:t xml:space="preserve">Proposal </w:t>
      </w:r>
      <w:r w:rsidR="00D64412">
        <w:rPr>
          <w:rFonts w:eastAsia="Times New Roman"/>
          <w:b/>
          <w:bCs/>
          <w:u w:val="single"/>
          <w:lang w:val="en-GB" w:eastAsia="zh-CN"/>
        </w:rPr>
        <w:t>3</w:t>
      </w:r>
      <w:r>
        <w:rPr>
          <w:rFonts w:eastAsia="Times New Roman"/>
          <w:b/>
          <w:bCs/>
          <w:u w:val="single"/>
          <w:lang w:val="en-GB" w:eastAsia="zh-CN"/>
        </w:rPr>
        <w:t>:</w:t>
      </w:r>
      <w:r>
        <w:rPr>
          <w:rFonts w:eastAsia="Times New Roman"/>
          <w:b/>
          <w:bCs/>
          <w:lang w:val="en-GB" w:eastAsia="zh-CN"/>
        </w:rPr>
        <w:tab/>
      </w:r>
      <w:r>
        <w:rPr>
          <w:b/>
          <w:lang w:eastAsia="zh-CN"/>
        </w:rPr>
        <w:t xml:space="preserve">For resource pool without PSFCH, if SCI does not indicate re-transmission resource, the </w:t>
      </w:r>
      <w:r>
        <w:rPr>
          <w:b/>
          <w:i/>
          <w:lang w:eastAsia="zh-CN"/>
        </w:rPr>
        <w:t>sl-drx-HARQ-RTT-Timer</w:t>
      </w:r>
      <w:r>
        <w:rPr>
          <w:b/>
          <w:lang w:eastAsia="zh-CN"/>
        </w:rPr>
        <w:t xml:space="preserve"> timer length is fixed to be zero</w:t>
      </w:r>
      <w:r>
        <w:rPr>
          <w:rFonts w:eastAsia="Times New Roman"/>
          <w:b/>
          <w:bCs/>
          <w:iCs/>
          <w:lang w:val="en-GB" w:eastAsia="zh-CN"/>
        </w:rPr>
        <w:t>.</w:t>
      </w:r>
    </w:p>
    <w:p w14:paraId="2B0167C1" w14:textId="6FF614ED" w:rsidR="00100FEC" w:rsidRDefault="00100FEC" w:rsidP="00123595">
      <w:pPr>
        <w:tabs>
          <w:tab w:val="left" w:pos="1701"/>
        </w:tabs>
        <w:spacing w:after="120"/>
        <w:jc w:val="both"/>
        <w:rPr>
          <w:rFonts w:eastAsia="Times New Roman"/>
          <w:iCs/>
          <w:lang w:val="en-GB" w:eastAsia="zh-CN"/>
        </w:rPr>
      </w:pPr>
    </w:p>
    <w:p w14:paraId="3B32ED04" w14:textId="48C90EBA" w:rsidR="00E810A8" w:rsidRDefault="00E810A8" w:rsidP="1B18D0D7">
      <w:pPr>
        <w:tabs>
          <w:tab w:val="left" w:pos="1701"/>
        </w:tabs>
        <w:spacing w:after="120"/>
        <w:jc w:val="both"/>
        <w:rPr>
          <w:lang w:val="en-GB"/>
        </w:rPr>
      </w:pPr>
      <w:r w:rsidRPr="1B18D0D7">
        <w:rPr>
          <w:rFonts w:eastAsia="Times New Roman"/>
          <w:lang w:val="en-GB" w:eastAsia="zh-CN"/>
        </w:rPr>
        <w:t xml:space="preserve">Finally, the contents of the DRX assistance information message and specifically the inclusion of SL DRX inactivity timer by the RX UE is also an open issue. </w:t>
      </w:r>
      <w:r w:rsidRPr="1B18D0D7">
        <w:rPr>
          <w:lang w:val="en-GB"/>
        </w:rPr>
        <w:t>During last meeting discussion on the contents of the assistance information sent by the RX UE as part of the desired SL DRX configuration to the TX UE, the need for including the drx-inactivity timer, HARQ RTT and retransmission timer was brought up. It was agreed that the SL HARQ RTT and HARQ Retx timers shall not be included as part of this desired configuration, but the inclusion of SL DRX</w:t>
      </w:r>
      <w:r w:rsidR="00D64412" w:rsidRPr="1B18D0D7">
        <w:rPr>
          <w:lang w:val="en-GB"/>
        </w:rPr>
        <w:t xml:space="preserve"> inactivity timer is still FFS</w:t>
      </w:r>
      <w:r w:rsidRPr="1B18D0D7">
        <w:rPr>
          <w:lang w:val="en-GB"/>
        </w:rPr>
        <w:t xml:space="preserve">. In our view, regarding the drx-inactivity timer, it is true that it mostly relates to the traffic pattern information at the TX UE and therefore, the RX UE providing this information as part of the desired SL DRX configuration to the TX UE seems unusual. It can be argued that for a given SL service, the traffic pattern information might be roughly estimated by the RX UE, but the main point is that the TX UE is still the one which has the most up to date information on how to set the drx-inactivity timer for a given unicast link. Therefore, we think it does not need to be indicated as part of the RX UE’s desired SL DRX configuration in </w:t>
      </w:r>
      <w:r w:rsidR="1B18D0D7" w:rsidRPr="00EB2F3B">
        <w:rPr>
          <w:i/>
          <w:iCs/>
          <w:lang w:val="en-GB"/>
        </w:rPr>
        <w:t>UEAssistanceInformationSidelink</w:t>
      </w:r>
      <w:r w:rsidRPr="1B18D0D7">
        <w:rPr>
          <w:lang w:val="en-GB"/>
        </w:rPr>
        <w:t xml:space="preserve">. </w:t>
      </w:r>
    </w:p>
    <w:p w14:paraId="59B11E5E" w14:textId="793456A9" w:rsidR="00F80AAF" w:rsidRPr="00D64412" w:rsidRDefault="00D64412" w:rsidP="1B18D0D7">
      <w:pPr>
        <w:tabs>
          <w:tab w:val="left" w:pos="1701"/>
        </w:tabs>
        <w:spacing w:after="120"/>
        <w:ind w:left="1304" w:hanging="1304"/>
        <w:jc w:val="both"/>
        <w:rPr>
          <w:rFonts w:eastAsia="Times New Roman"/>
          <w:b/>
          <w:bCs/>
          <w:lang w:val="en-GB" w:eastAsia="zh-CN"/>
        </w:rPr>
      </w:pPr>
      <w:bookmarkStart w:id="3" w:name="_Hlk85450276"/>
      <w:r w:rsidRPr="1B18D0D7">
        <w:rPr>
          <w:rFonts w:eastAsia="Times New Roman"/>
          <w:b/>
          <w:bCs/>
          <w:u w:val="single"/>
          <w:lang w:val="en-GB" w:eastAsia="zh-CN"/>
        </w:rPr>
        <w:t>Proposal 4:</w:t>
      </w:r>
      <w:r>
        <w:tab/>
      </w:r>
      <w:r w:rsidRPr="1B18D0D7">
        <w:rPr>
          <w:rFonts w:eastAsia="Times New Roman"/>
          <w:b/>
          <w:bCs/>
          <w:lang w:val="en-GB" w:eastAsia="zh-CN"/>
        </w:rPr>
        <w:t xml:space="preserve">The drx-inactivity timer shall not be included as part of the RX UE’s SL DRX desired configuration in </w:t>
      </w:r>
      <w:r w:rsidRPr="00EB2F3B">
        <w:rPr>
          <w:rFonts w:eastAsia="Times New Roman"/>
          <w:b/>
          <w:bCs/>
          <w:i/>
          <w:iCs/>
          <w:lang w:val="en-GB" w:eastAsia="zh-CN"/>
        </w:rPr>
        <w:t>UEAssistanceInformationSidelink</w:t>
      </w:r>
      <w:r w:rsidRPr="1B18D0D7">
        <w:rPr>
          <w:rFonts w:eastAsia="Times New Roman"/>
          <w:b/>
          <w:bCs/>
          <w:lang w:val="en-GB" w:eastAsia="zh-CN"/>
        </w:rPr>
        <w:t>.</w:t>
      </w:r>
      <w:bookmarkEnd w:id="3"/>
    </w:p>
    <w:p w14:paraId="2E676A43" w14:textId="718B56CF" w:rsidR="00C15984" w:rsidRPr="00902B39" w:rsidRDefault="00C15984" w:rsidP="00123595">
      <w:pPr>
        <w:tabs>
          <w:tab w:val="left" w:pos="1701"/>
        </w:tabs>
        <w:spacing w:after="120"/>
        <w:jc w:val="both"/>
      </w:pPr>
    </w:p>
    <w:p w14:paraId="5AB4BABA" w14:textId="77777777" w:rsidR="00EB410E" w:rsidRDefault="00EB410E" w:rsidP="00DE1023">
      <w:pPr>
        <w:pStyle w:val="Heading1"/>
        <w:numPr>
          <w:ilvl w:val="0"/>
          <w:numId w:val="2"/>
        </w:numPr>
        <w:jc w:val="both"/>
      </w:pPr>
      <w:bookmarkStart w:id="4" w:name="_Toc465993148"/>
      <w:bookmarkEnd w:id="4"/>
      <w:r>
        <w:t>Conclusion</w:t>
      </w:r>
    </w:p>
    <w:p w14:paraId="0580D4BA" w14:textId="2717CBAD" w:rsidR="00EB410E" w:rsidRDefault="00111A5A" w:rsidP="00DE1023">
      <w:pPr>
        <w:jc w:val="both"/>
        <w:rPr>
          <w:lang w:eastAsia="zh-CN"/>
        </w:rPr>
      </w:pPr>
      <w:r>
        <w:rPr>
          <w:lang w:eastAsia="zh-CN"/>
        </w:rPr>
        <w:t xml:space="preserve">This contribution discusses the </w:t>
      </w:r>
      <w:r w:rsidR="00D64412">
        <w:rPr>
          <w:lang w:eastAsia="zh-CN"/>
        </w:rPr>
        <w:t xml:space="preserve">open issues related to </w:t>
      </w:r>
      <w:r w:rsidR="00D269E5">
        <w:rPr>
          <w:lang w:eastAsia="zh-CN"/>
        </w:rPr>
        <w:t xml:space="preserve">SL DRX operation </w:t>
      </w:r>
      <w:r w:rsidR="00D36CFE">
        <w:rPr>
          <w:lang w:eastAsia="zh-CN"/>
        </w:rPr>
        <w:t xml:space="preserve">and </w:t>
      </w:r>
      <w:r w:rsidR="00C0788E">
        <w:rPr>
          <w:lang w:eastAsia="zh-CN"/>
        </w:rPr>
        <w:t xml:space="preserve">makes the following </w:t>
      </w:r>
      <w:r w:rsidR="00D269E5">
        <w:rPr>
          <w:lang w:eastAsia="zh-CN"/>
        </w:rPr>
        <w:t>observation and proposal</w:t>
      </w:r>
      <w:r w:rsidR="00C0788E">
        <w:rPr>
          <w:lang w:eastAsia="zh-CN"/>
        </w:rPr>
        <w:t>:</w:t>
      </w:r>
    </w:p>
    <w:bookmarkEnd w:id="2"/>
    <w:p w14:paraId="78C2498D" w14:textId="77777777" w:rsidR="00D64412" w:rsidRDefault="00D64412" w:rsidP="00D64412">
      <w:pPr>
        <w:ind w:left="1440" w:hanging="1440"/>
        <w:rPr>
          <w:rFonts w:eastAsia="Times New Roman"/>
          <w:b/>
          <w:bCs/>
          <w:iCs/>
          <w:lang w:val="en-GB" w:eastAsia="zh-CN"/>
        </w:rPr>
      </w:pPr>
      <w:r>
        <w:rPr>
          <w:rFonts w:eastAsia="Times New Roman"/>
          <w:b/>
          <w:bCs/>
          <w:u w:val="single"/>
          <w:lang w:val="en-GB" w:eastAsia="zh-CN"/>
        </w:rPr>
        <w:t>Observation 1:</w:t>
      </w:r>
      <w:r>
        <w:rPr>
          <w:rFonts w:eastAsia="Times New Roman"/>
          <w:b/>
          <w:bCs/>
          <w:lang w:val="en-GB" w:eastAsia="zh-CN"/>
        </w:rPr>
        <w:tab/>
      </w:r>
      <w:r>
        <w:rPr>
          <w:rFonts w:eastAsia="Times New Roman"/>
          <w:b/>
          <w:bCs/>
          <w:iCs/>
          <w:lang w:val="en-GB" w:eastAsia="zh-CN"/>
        </w:rPr>
        <w:t xml:space="preserve">In case </w:t>
      </w:r>
      <w:r w:rsidRPr="00D64412">
        <w:rPr>
          <w:rFonts w:eastAsia="Times New Roman"/>
          <w:b/>
          <w:bCs/>
          <w:i/>
          <w:lang w:val="en-GB" w:eastAsia="zh-CN"/>
        </w:rPr>
        <w:t>RRCReconfigurationCompleteSidelink</w:t>
      </w:r>
      <w:r>
        <w:rPr>
          <w:rFonts w:eastAsia="Times New Roman"/>
          <w:b/>
          <w:bCs/>
          <w:iCs/>
          <w:lang w:val="en-GB" w:eastAsia="zh-CN"/>
        </w:rPr>
        <w:t xml:space="preserve"> is used for rejection of SL DRX configuration, a new indication is needed to inform the TX UE that SL DRX configuration is rejected</w:t>
      </w:r>
      <w:r w:rsidRPr="00C13810">
        <w:rPr>
          <w:rFonts w:eastAsia="Times New Roman"/>
          <w:b/>
          <w:bCs/>
          <w:iCs/>
          <w:lang w:val="en-GB" w:eastAsia="zh-CN"/>
        </w:rPr>
        <w:t>.</w:t>
      </w:r>
    </w:p>
    <w:p w14:paraId="508C8D8C" w14:textId="77777777" w:rsidR="00D64412" w:rsidRPr="00772729" w:rsidRDefault="00D64412" w:rsidP="00D64412">
      <w:pPr>
        <w:ind w:left="1440" w:hanging="1440"/>
        <w:rPr>
          <w:rFonts w:eastAsia="Times New Roman"/>
          <w:b/>
          <w:bCs/>
          <w:iCs/>
          <w:lang w:val="en-GB" w:eastAsia="zh-CN"/>
        </w:rPr>
      </w:pPr>
      <w:r>
        <w:rPr>
          <w:rFonts w:eastAsia="Times New Roman"/>
          <w:b/>
          <w:bCs/>
          <w:u w:val="single"/>
          <w:lang w:val="en-GB" w:eastAsia="zh-CN"/>
        </w:rPr>
        <w:t>Observation 1:</w:t>
      </w:r>
      <w:r>
        <w:rPr>
          <w:rFonts w:eastAsia="Times New Roman"/>
          <w:b/>
          <w:bCs/>
          <w:lang w:val="en-GB" w:eastAsia="zh-CN"/>
        </w:rPr>
        <w:tab/>
      </w:r>
      <w:r>
        <w:rPr>
          <w:rFonts w:eastAsia="Times New Roman"/>
          <w:b/>
          <w:bCs/>
          <w:iCs/>
          <w:lang w:val="en-GB" w:eastAsia="zh-CN"/>
        </w:rPr>
        <w:t xml:space="preserve">In case </w:t>
      </w:r>
      <w:r w:rsidRPr="00D64412">
        <w:rPr>
          <w:rFonts w:eastAsia="Times New Roman"/>
          <w:b/>
          <w:bCs/>
          <w:i/>
          <w:lang w:val="en-GB" w:eastAsia="zh-CN"/>
        </w:rPr>
        <w:t>RRCReconfigurationFailureSidelink</w:t>
      </w:r>
      <w:r>
        <w:rPr>
          <w:rFonts w:eastAsia="Times New Roman"/>
          <w:b/>
          <w:bCs/>
          <w:iCs/>
          <w:lang w:val="en-GB" w:eastAsia="zh-CN"/>
        </w:rPr>
        <w:t xml:space="preserve"> is used for rejection of SL DRX configuration, a new indication may be needed if the RX UE only rejects the SL DRX related configuration</w:t>
      </w:r>
      <w:r w:rsidRPr="00C13810">
        <w:rPr>
          <w:rFonts w:eastAsia="Times New Roman"/>
          <w:b/>
          <w:bCs/>
          <w:iCs/>
          <w:lang w:val="en-GB" w:eastAsia="zh-CN"/>
        </w:rPr>
        <w:t>.</w:t>
      </w:r>
      <w:r>
        <w:rPr>
          <w:rFonts w:eastAsia="Times New Roman"/>
          <w:b/>
          <w:bCs/>
          <w:iCs/>
          <w:lang w:val="en-GB" w:eastAsia="zh-CN"/>
        </w:rPr>
        <w:t xml:space="preserve"> Otherwise, no indication may be needed.</w:t>
      </w:r>
    </w:p>
    <w:p w14:paraId="3B1F2048" w14:textId="02DC08F2" w:rsidR="00D64412" w:rsidRDefault="00D64412" w:rsidP="00D64412">
      <w:pPr>
        <w:tabs>
          <w:tab w:val="left" w:pos="1701"/>
        </w:tabs>
        <w:spacing w:after="120"/>
        <w:ind w:left="1440" w:hanging="1440"/>
        <w:jc w:val="both"/>
        <w:rPr>
          <w:rFonts w:eastAsia="Times New Roman"/>
          <w:b/>
          <w:bCs/>
          <w:iCs/>
          <w:lang w:val="en-GB" w:eastAsia="zh-CN"/>
        </w:rPr>
      </w:pPr>
      <w:r>
        <w:rPr>
          <w:rFonts w:eastAsia="Times New Roman"/>
          <w:b/>
          <w:bCs/>
          <w:u w:val="single"/>
          <w:lang w:val="en-GB" w:eastAsia="zh-CN"/>
        </w:rPr>
        <w:t>Proposal 1:</w:t>
      </w:r>
      <w:r>
        <w:rPr>
          <w:rFonts w:eastAsia="Times New Roman"/>
          <w:b/>
          <w:bCs/>
          <w:lang w:val="en-GB" w:eastAsia="zh-CN"/>
        </w:rPr>
        <w:tab/>
      </w:r>
      <w:r w:rsidR="00D91F3B" w:rsidRPr="1B18D0D7">
        <w:rPr>
          <w:rFonts w:eastAsia="Times New Roman"/>
          <w:b/>
          <w:bCs/>
          <w:lang w:val="en-GB" w:eastAsia="zh-CN"/>
        </w:rPr>
        <w:t xml:space="preserve">RAN2 is proposed to agree that </w:t>
      </w:r>
      <w:r w:rsidR="00D91F3B" w:rsidRPr="1B18D0D7">
        <w:rPr>
          <w:rFonts w:eastAsia="Times New Roman"/>
          <w:b/>
          <w:bCs/>
          <w:i/>
          <w:iCs/>
          <w:lang w:val="en-GB" w:eastAsia="zh-CN"/>
        </w:rPr>
        <w:t>RRCReconfigurationCompleteSidelink</w:t>
      </w:r>
      <w:r w:rsidR="00D91F3B" w:rsidRPr="1B18D0D7">
        <w:rPr>
          <w:rFonts w:eastAsia="Times New Roman"/>
          <w:b/>
          <w:bCs/>
          <w:lang w:val="en-GB" w:eastAsia="zh-CN"/>
        </w:rPr>
        <w:t xml:space="preserve"> is used for rejection of SL DRX configuration by the RX UE. In this case, an additional indication within the </w:t>
      </w:r>
      <w:r w:rsidR="00D91F3B" w:rsidRPr="1B18D0D7">
        <w:rPr>
          <w:rFonts w:eastAsia="Times New Roman"/>
          <w:b/>
          <w:bCs/>
          <w:i/>
          <w:iCs/>
          <w:lang w:val="en-GB" w:eastAsia="zh-CN"/>
        </w:rPr>
        <w:t>RRCReconfigurationCompleteSidelink</w:t>
      </w:r>
      <w:r w:rsidR="00D91F3B" w:rsidRPr="1B18D0D7">
        <w:rPr>
          <w:rFonts w:eastAsia="Times New Roman"/>
          <w:b/>
          <w:bCs/>
          <w:lang w:val="en-GB" w:eastAsia="zh-CN"/>
        </w:rPr>
        <w:t xml:space="preserve"> message is defined to indicate the rejection of SL DRX related configuration by the RX UE which can nonetheless apply the non-DRX related configuration.</w:t>
      </w:r>
    </w:p>
    <w:p w14:paraId="34263DA1" w14:textId="77777777" w:rsidR="00D64412" w:rsidRDefault="00D64412" w:rsidP="00622F1C">
      <w:pPr>
        <w:ind w:left="1440" w:hanging="1440"/>
      </w:pPr>
      <w:r>
        <w:rPr>
          <w:rFonts w:eastAsia="Times New Roman"/>
          <w:b/>
          <w:bCs/>
          <w:u w:val="single"/>
          <w:lang w:val="en-GB" w:eastAsia="zh-CN"/>
        </w:rPr>
        <w:t>Proposal 2:</w:t>
      </w:r>
      <w:r>
        <w:rPr>
          <w:rFonts w:eastAsia="Times New Roman"/>
          <w:b/>
          <w:bCs/>
          <w:lang w:val="en-GB" w:eastAsia="zh-CN"/>
        </w:rPr>
        <w:tab/>
      </w:r>
      <w:r w:rsidRPr="00100FEC">
        <w:rPr>
          <w:rFonts w:eastAsia="Times New Roman"/>
          <w:b/>
          <w:bCs/>
          <w:iCs/>
          <w:lang w:val="en-GB" w:eastAsia="zh-CN"/>
        </w:rPr>
        <w:t xml:space="preserve">In case </w:t>
      </w:r>
      <w:r w:rsidRPr="00D64412">
        <w:rPr>
          <w:rFonts w:eastAsia="Times New Roman"/>
          <w:b/>
          <w:bCs/>
          <w:i/>
          <w:lang w:val="en-GB" w:eastAsia="zh-CN"/>
        </w:rPr>
        <w:t>RRCReconfigurationCompleteSidelink</w:t>
      </w:r>
      <w:r w:rsidRPr="00100FEC">
        <w:rPr>
          <w:rFonts w:eastAsia="Times New Roman"/>
          <w:b/>
          <w:bCs/>
          <w:iCs/>
          <w:lang w:val="en-GB" w:eastAsia="zh-CN"/>
        </w:rPr>
        <w:t xml:space="preserve"> is adopted, after reject</w:t>
      </w:r>
      <w:r>
        <w:rPr>
          <w:rFonts w:eastAsia="Times New Roman"/>
          <w:b/>
          <w:bCs/>
          <w:iCs/>
          <w:lang w:val="en-GB" w:eastAsia="zh-CN"/>
        </w:rPr>
        <w:t>ion of</w:t>
      </w:r>
      <w:r w:rsidRPr="00100FEC">
        <w:rPr>
          <w:rFonts w:eastAsia="Times New Roman"/>
          <w:b/>
          <w:bCs/>
          <w:iCs/>
          <w:lang w:val="en-GB" w:eastAsia="zh-CN"/>
        </w:rPr>
        <w:t xml:space="preserve"> the </w:t>
      </w:r>
      <w:r>
        <w:rPr>
          <w:rFonts w:eastAsia="Times New Roman"/>
          <w:b/>
          <w:bCs/>
          <w:iCs/>
          <w:lang w:val="en-GB" w:eastAsia="zh-CN"/>
        </w:rPr>
        <w:t xml:space="preserve">SL </w:t>
      </w:r>
      <w:r w:rsidRPr="00100FEC">
        <w:rPr>
          <w:rFonts w:eastAsia="Times New Roman"/>
          <w:b/>
          <w:bCs/>
          <w:iCs/>
          <w:lang w:val="en-GB" w:eastAsia="zh-CN"/>
        </w:rPr>
        <w:t>DRX configuration, the Rx</w:t>
      </w:r>
      <w:r>
        <w:rPr>
          <w:rFonts w:eastAsia="Times New Roman"/>
          <w:b/>
          <w:bCs/>
          <w:iCs/>
          <w:lang w:val="en-GB" w:eastAsia="zh-CN"/>
        </w:rPr>
        <w:t xml:space="preserve"> </w:t>
      </w:r>
      <w:r w:rsidRPr="00100FEC">
        <w:rPr>
          <w:rFonts w:eastAsia="Times New Roman"/>
          <w:b/>
          <w:bCs/>
          <w:iCs/>
          <w:lang w:val="en-GB" w:eastAsia="zh-CN"/>
        </w:rPr>
        <w:t xml:space="preserve">UE </w:t>
      </w:r>
      <w:r>
        <w:rPr>
          <w:rFonts w:eastAsia="Times New Roman"/>
          <w:b/>
          <w:bCs/>
          <w:iCs/>
          <w:lang w:val="en-GB" w:eastAsia="zh-CN"/>
        </w:rPr>
        <w:t xml:space="preserve">shall continue </w:t>
      </w:r>
      <w:r w:rsidRPr="00100FEC">
        <w:rPr>
          <w:rFonts w:eastAsia="Times New Roman"/>
          <w:b/>
          <w:bCs/>
          <w:iCs/>
          <w:lang w:val="en-GB" w:eastAsia="zh-CN"/>
        </w:rPr>
        <w:t>us</w:t>
      </w:r>
      <w:r>
        <w:rPr>
          <w:rFonts w:eastAsia="Times New Roman"/>
          <w:b/>
          <w:bCs/>
          <w:iCs/>
          <w:lang w:val="en-GB" w:eastAsia="zh-CN"/>
        </w:rPr>
        <w:t>ing</w:t>
      </w:r>
      <w:r w:rsidRPr="00100FEC">
        <w:rPr>
          <w:rFonts w:eastAsia="Times New Roman"/>
          <w:b/>
          <w:bCs/>
          <w:iCs/>
          <w:lang w:val="en-GB" w:eastAsia="zh-CN"/>
        </w:rPr>
        <w:t xml:space="preserve"> the SL DRX configuration </w:t>
      </w:r>
      <w:r>
        <w:rPr>
          <w:rFonts w:eastAsia="Times New Roman"/>
          <w:b/>
          <w:bCs/>
          <w:iCs/>
          <w:lang w:val="en-GB" w:eastAsia="zh-CN"/>
        </w:rPr>
        <w:t>accepted previously (</w:t>
      </w:r>
      <w:r w:rsidRPr="00100FEC">
        <w:rPr>
          <w:rFonts w:eastAsia="Times New Roman"/>
          <w:b/>
          <w:bCs/>
          <w:iCs/>
          <w:lang w:val="en-GB" w:eastAsia="zh-CN"/>
        </w:rPr>
        <w:t>until a new SL DRX configuration</w:t>
      </w:r>
      <w:r>
        <w:rPr>
          <w:rFonts w:eastAsia="Times New Roman"/>
          <w:b/>
          <w:bCs/>
          <w:iCs/>
          <w:lang w:val="en-GB" w:eastAsia="zh-CN"/>
        </w:rPr>
        <w:t xml:space="preserve"> is received and accepted).</w:t>
      </w:r>
    </w:p>
    <w:p w14:paraId="3A170A4D" w14:textId="77777777" w:rsidR="00D64412" w:rsidRDefault="00D64412" w:rsidP="00D64412">
      <w:pPr>
        <w:tabs>
          <w:tab w:val="left" w:pos="1701"/>
        </w:tabs>
        <w:spacing w:after="120"/>
        <w:ind w:left="1440" w:hanging="1440"/>
        <w:jc w:val="both"/>
        <w:rPr>
          <w:rFonts w:eastAsia="Times New Roman"/>
          <w:b/>
          <w:bCs/>
          <w:iCs/>
          <w:lang w:val="en-GB" w:eastAsia="zh-CN"/>
        </w:rPr>
      </w:pPr>
      <w:r>
        <w:rPr>
          <w:rFonts w:eastAsia="Times New Roman"/>
          <w:b/>
          <w:bCs/>
          <w:u w:val="single"/>
          <w:lang w:val="en-GB" w:eastAsia="zh-CN"/>
        </w:rPr>
        <w:t>Proposal 3:</w:t>
      </w:r>
      <w:r>
        <w:rPr>
          <w:rFonts w:eastAsia="Times New Roman"/>
          <w:b/>
          <w:bCs/>
          <w:lang w:val="en-GB" w:eastAsia="zh-CN"/>
        </w:rPr>
        <w:tab/>
      </w:r>
      <w:r>
        <w:rPr>
          <w:b/>
          <w:lang w:eastAsia="zh-CN"/>
        </w:rPr>
        <w:t xml:space="preserve">For resource pool without PSFCH, if SCI does not indicate re-transmission resource, the </w:t>
      </w:r>
      <w:r>
        <w:rPr>
          <w:b/>
          <w:i/>
          <w:lang w:eastAsia="zh-CN"/>
        </w:rPr>
        <w:t>sl-drx-HARQ-RTT-Timer</w:t>
      </w:r>
      <w:r>
        <w:rPr>
          <w:b/>
          <w:lang w:eastAsia="zh-CN"/>
        </w:rPr>
        <w:t xml:space="preserve"> timer length is fixed to be zero</w:t>
      </w:r>
      <w:r>
        <w:rPr>
          <w:rFonts w:eastAsia="Times New Roman"/>
          <w:b/>
          <w:bCs/>
          <w:iCs/>
          <w:lang w:val="en-GB" w:eastAsia="zh-CN"/>
        </w:rPr>
        <w:t>.</w:t>
      </w:r>
    </w:p>
    <w:p w14:paraId="6E714B0D" w14:textId="77777777" w:rsidR="00E56444" w:rsidRPr="00D64412" w:rsidRDefault="00E56444" w:rsidP="00E56444">
      <w:pPr>
        <w:tabs>
          <w:tab w:val="left" w:pos="1701"/>
        </w:tabs>
        <w:spacing w:after="120"/>
        <w:ind w:left="1304" w:hanging="1304"/>
        <w:jc w:val="both"/>
        <w:rPr>
          <w:rFonts w:eastAsia="Times New Roman"/>
          <w:b/>
          <w:bCs/>
          <w:lang w:val="en-GB" w:eastAsia="zh-CN"/>
        </w:rPr>
      </w:pPr>
      <w:r w:rsidRPr="1B18D0D7">
        <w:rPr>
          <w:rFonts w:eastAsia="Times New Roman"/>
          <w:b/>
          <w:bCs/>
          <w:u w:val="single"/>
          <w:lang w:val="en-GB" w:eastAsia="zh-CN"/>
        </w:rPr>
        <w:lastRenderedPageBreak/>
        <w:t>Proposal 4:</w:t>
      </w:r>
      <w:r>
        <w:tab/>
      </w:r>
      <w:r w:rsidRPr="1B18D0D7">
        <w:rPr>
          <w:rFonts w:eastAsia="Times New Roman"/>
          <w:b/>
          <w:bCs/>
          <w:lang w:val="en-GB" w:eastAsia="zh-CN"/>
        </w:rPr>
        <w:t xml:space="preserve">The drx-inactivity timer shall not be included as part of the RX UE’s SL DRX desired configuration in </w:t>
      </w:r>
      <w:r w:rsidRPr="00EB4AD4">
        <w:rPr>
          <w:rFonts w:eastAsia="Times New Roman"/>
          <w:b/>
          <w:bCs/>
          <w:i/>
          <w:iCs/>
          <w:lang w:val="en-GB" w:eastAsia="zh-CN"/>
        </w:rPr>
        <w:t>UEAssistanceInformationSidelink</w:t>
      </w:r>
      <w:r w:rsidRPr="1B18D0D7">
        <w:rPr>
          <w:rFonts w:eastAsia="Times New Roman"/>
          <w:b/>
          <w:bCs/>
          <w:lang w:val="en-GB" w:eastAsia="zh-CN"/>
        </w:rPr>
        <w:t>.</w:t>
      </w:r>
    </w:p>
    <w:sdt>
      <w:sdtPr>
        <w:rPr>
          <w:rFonts w:ascii="Times New Roman" w:eastAsia="SimSun" w:hAnsi="Times New Roman"/>
          <w:noProof w:val="0"/>
          <w:sz w:val="20"/>
          <w:lang w:val="en-US" w:eastAsia="en-US"/>
        </w:rPr>
        <w:id w:val="-1688288349"/>
        <w:docPartObj>
          <w:docPartGallery w:val="Bibliographies"/>
          <w:docPartUnique/>
        </w:docPartObj>
      </w:sdtPr>
      <w:sdtEndPr/>
      <w:sdtContent>
        <w:p w14:paraId="7B16C8A1" w14:textId="5AFA417F" w:rsidR="0002294D" w:rsidRDefault="0002294D">
          <w:pPr>
            <w:pStyle w:val="Heading1"/>
          </w:pPr>
          <w:r>
            <w:t>References</w:t>
          </w:r>
        </w:p>
        <w:sdt>
          <w:sdtPr>
            <w:id w:val="-573587230"/>
            <w:bibliography/>
          </w:sdtPr>
          <w:sdtEndPr/>
          <w:sdtContent>
            <w:p w14:paraId="255EDEB4" w14:textId="367613EA" w:rsidR="00A105DE" w:rsidRDefault="006A3282" w:rsidP="00683E43">
              <w:r>
                <w:t>[1] R2-220</w:t>
              </w:r>
              <w:r w:rsidR="00A35AC0">
                <w:t xml:space="preserve">3518 </w:t>
              </w:r>
              <w:r w:rsidR="00490043" w:rsidRPr="00490043">
                <w:t>Report from session on LTE V2X and NR SL</w:t>
              </w:r>
              <w:r w:rsidR="00490043">
                <w:t xml:space="preserve">, </w:t>
              </w:r>
              <w:r w:rsidR="0041689E" w:rsidRPr="0041689E">
                <w:t>3GPP TSG-RAN WG2 Meeting #117 electronic</w:t>
              </w:r>
            </w:p>
          </w:sdtContent>
        </w:sdt>
      </w:sdtContent>
    </w:sdt>
    <w:p w14:paraId="21C46A0E" w14:textId="77777777" w:rsidR="00A105DE" w:rsidRPr="00A105DE" w:rsidRDefault="00A105DE" w:rsidP="00A105DE">
      <w:pPr>
        <w:rPr>
          <w:lang w:val="en-GB" w:eastAsia="x-none"/>
        </w:rPr>
      </w:pPr>
    </w:p>
    <w:sectPr w:rsidR="00A105DE" w:rsidRPr="00A105DE"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BAFCB" w14:textId="77777777" w:rsidR="001E67BD" w:rsidRDefault="001E67BD" w:rsidP="0005215A">
      <w:pPr>
        <w:spacing w:after="0"/>
      </w:pPr>
      <w:r>
        <w:separator/>
      </w:r>
    </w:p>
  </w:endnote>
  <w:endnote w:type="continuationSeparator" w:id="0">
    <w:p w14:paraId="73820583" w14:textId="77777777" w:rsidR="001E67BD" w:rsidRDefault="001E67BD" w:rsidP="0005215A">
      <w:pPr>
        <w:spacing w:after="0"/>
      </w:pPr>
      <w:r>
        <w:continuationSeparator/>
      </w:r>
    </w:p>
  </w:endnote>
  <w:endnote w:type="continuationNotice" w:id="1">
    <w:p w14:paraId="34FDE6BC" w14:textId="77777777" w:rsidR="001E67BD" w:rsidRDefault="001E67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5E1BD" w14:textId="77777777" w:rsidR="001E67BD" w:rsidRDefault="001E67BD" w:rsidP="0005215A">
      <w:pPr>
        <w:spacing w:after="0"/>
      </w:pPr>
      <w:r>
        <w:separator/>
      </w:r>
    </w:p>
  </w:footnote>
  <w:footnote w:type="continuationSeparator" w:id="0">
    <w:p w14:paraId="4E4FE983" w14:textId="77777777" w:rsidR="001E67BD" w:rsidRDefault="001E67BD" w:rsidP="0005215A">
      <w:pPr>
        <w:spacing w:after="0"/>
      </w:pPr>
      <w:r>
        <w:continuationSeparator/>
      </w:r>
    </w:p>
  </w:footnote>
  <w:footnote w:type="continuationNotice" w:id="1">
    <w:p w14:paraId="1BEEC220" w14:textId="77777777" w:rsidR="001E67BD" w:rsidRDefault="001E67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28656E7C"/>
    <w:multiLevelType w:val="multilevel"/>
    <w:tmpl w:val="9D0EB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FF46489"/>
    <w:multiLevelType w:val="multilevel"/>
    <w:tmpl w:val="31CE0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31F609F"/>
    <w:multiLevelType w:val="multilevel"/>
    <w:tmpl w:val="028AE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3AB2D71"/>
    <w:multiLevelType w:val="hybridMultilevel"/>
    <w:tmpl w:val="0832E6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8B6C2E"/>
    <w:multiLevelType w:val="hybridMultilevel"/>
    <w:tmpl w:val="B9BCD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0E3F19"/>
    <w:multiLevelType w:val="hybridMultilevel"/>
    <w:tmpl w:val="064037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F631C66"/>
    <w:multiLevelType w:val="hybridMultilevel"/>
    <w:tmpl w:val="54387314"/>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2750037"/>
    <w:multiLevelType w:val="hybridMultilevel"/>
    <w:tmpl w:val="0B5050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77C04A7A"/>
    <w:multiLevelType w:val="hybridMultilevel"/>
    <w:tmpl w:val="0E088CDA"/>
    <w:lvl w:ilvl="0" w:tplc="BDFC1BCE">
      <w:start w:val="1"/>
      <w:numFmt w:val="decimal"/>
      <w:pStyle w:val="NormalNumbered"/>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5"/>
  </w:num>
  <w:num w:numId="5">
    <w:abstractNumId w:val="15"/>
    <w:lvlOverride w:ilvl="0">
      <w:startOverride w:val="1"/>
    </w:lvlOverride>
  </w:num>
  <w:num w:numId="6">
    <w:abstractNumId w:val="15"/>
    <w:lvlOverride w:ilvl="0">
      <w:startOverride w:val="1"/>
    </w:lvlOverride>
  </w:num>
  <w:num w:numId="7">
    <w:abstractNumId w:val="15"/>
    <w:lvlOverride w:ilvl="0">
      <w:startOverride w:val="1"/>
    </w:lvlOverride>
  </w:num>
  <w:num w:numId="8">
    <w:abstractNumId w:val="14"/>
  </w:num>
  <w:num w:numId="9">
    <w:abstractNumId w:val="0"/>
  </w:num>
  <w:num w:numId="10">
    <w:abstractNumId w:val="5"/>
  </w:num>
  <w:num w:numId="11">
    <w:abstractNumId w:val="13"/>
  </w:num>
  <w:num w:numId="12">
    <w:abstractNumId w:val="8"/>
  </w:num>
  <w:num w:numId="13">
    <w:abstractNumId w:val="12"/>
  </w:num>
  <w:num w:numId="14">
    <w:abstractNumId w:val="11"/>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7"/>
  </w:num>
  <w:num w:numId="19">
    <w:abstractNumId w:val="6"/>
  </w:num>
  <w:num w:numId="20">
    <w:abstractNumId w:val="6"/>
    <w:lvlOverride w:ilvl="0">
      <w:lvl w:ilvl="0">
        <w:start w:val="1"/>
        <w:numFmt w:val="bullet"/>
        <w:pStyle w:val="ListBullet"/>
        <w:lvlText w:val="●"/>
        <w:lvlJc w:val="left"/>
        <w:pPr>
          <w:ind w:left="284" w:hanging="284"/>
        </w:pPr>
        <w:rPr>
          <w:rFonts w:ascii="Times New Roman" w:hAnsi="Times New Roman" w:cs="Times New Roman" w:hint="default"/>
          <w:strike w:val="0"/>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1">
    <w:abstractNumId w:val="16"/>
  </w:num>
  <w:num w:numId="22">
    <w:abstractNumId w:val="2"/>
  </w:num>
  <w:num w:numId="23">
    <w:abstractNumId w:val="3"/>
  </w:num>
  <w:num w:numId="24">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EF2"/>
    <w:rsid w:val="00002A28"/>
    <w:rsid w:val="00003D3A"/>
    <w:rsid w:val="0000464F"/>
    <w:rsid w:val="00005BF8"/>
    <w:rsid w:val="00005CA3"/>
    <w:rsid w:val="00006B10"/>
    <w:rsid w:val="00007BB2"/>
    <w:rsid w:val="00011BB3"/>
    <w:rsid w:val="00012D44"/>
    <w:rsid w:val="000134A9"/>
    <w:rsid w:val="0001535C"/>
    <w:rsid w:val="000161B9"/>
    <w:rsid w:val="00016262"/>
    <w:rsid w:val="000176A8"/>
    <w:rsid w:val="00020237"/>
    <w:rsid w:val="0002294D"/>
    <w:rsid w:val="00022C94"/>
    <w:rsid w:val="0002300A"/>
    <w:rsid w:val="000230D3"/>
    <w:rsid w:val="00024155"/>
    <w:rsid w:val="00024E28"/>
    <w:rsid w:val="00025791"/>
    <w:rsid w:val="00025E3C"/>
    <w:rsid w:val="0002633D"/>
    <w:rsid w:val="00026359"/>
    <w:rsid w:val="00026665"/>
    <w:rsid w:val="00030F64"/>
    <w:rsid w:val="000334C2"/>
    <w:rsid w:val="000343BA"/>
    <w:rsid w:val="0003442E"/>
    <w:rsid w:val="000344E4"/>
    <w:rsid w:val="00034D9D"/>
    <w:rsid w:val="00035853"/>
    <w:rsid w:val="0003634D"/>
    <w:rsid w:val="00036E0E"/>
    <w:rsid w:val="000373E9"/>
    <w:rsid w:val="00040190"/>
    <w:rsid w:val="000402F4"/>
    <w:rsid w:val="00040A59"/>
    <w:rsid w:val="00041F6B"/>
    <w:rsid w:val="00042A07"/>
    <w:rsid w:val="00045F1C"/>
    <w:rsid w:val="00050164"/>
    <w:rsid w:val="00050A08"/>
    <w:rsid w:val="00050F26"/>
    <w:rsid w:val="000520C3"/>
    <w:rsid w:val="0005215A"/>
    <w:rsid w:val="00052612"/>
    <w:rsid w:val="00056F6A"/>
    <w:rsid w:val="00060413"/>
    <w:rsid w:val="00060A1F"/>
    <w:rsid w:val="00061301"/>
    <w:rsid w:val="00061B35"/>
    <w:rsid w:val="00061BFD"/>
    <w:rsid w:val="00062E3F"/>
    <w:rsid w:val="00064752"/>
    <w:rsid w:val="00064EF4"/>
    <w:rsid w:val="00064F1D"/>
    <w:rsid w:val="000663FC"/>
    <w:rsid w:val="000667D4"/>
    <w:rsid w:val="0007027E"/>
    <w:rsid w:val="00070A3F"/>
    <w:rsid w:val="00071E9A"/>
    <w:rsid w:val="00072D70"/>
    <w:rsid w:val="00072F8D"/>
    <w:rsid w:val="00073115"/>
    <w:rsid w:val="00073C09"/>
    <w:rsid w:val="000749E1"/>
    <w:rsid w:val="000758AE"/>
    <w:rsid w:val="00075922"/>
    <w:rsid w:val="00076E59"/>
    <w:rsid w:val="00080952"/>
    <w:rsid w:val="00080D43"/>
    <w:rsid w:val="00081B0D"/>
    <w:rsid w:val="00082E46"/>
    <w:rsid w:val="00083974"/>
    <w:rsid w:val="000866F7"/>
    <w:rsid w:val="00090537"/>
    <w:rsid w:val="00091340"/>
    <w:rsid w:val="00091887"/>
    <w:rsid w:val="00091DE0"/>
    <w:rsid w:val="000925D9"/>
    <w:rsid w:val="000939AC"/>
    <w:rsid w:val="00094025"/>
    <w:rsid w:val="00096FAB"/>
    <w:rsid w:val="000971A9"/>
    <w:rsid w:val="00097A65"/>
    <w:rsid w:val="00097CF1"/>
    <w:rsid w:val="000A0C69"/>
    <w:rsid w:val="000A2664"/>
    <w:rsid w:val="000A3791"/>
    <w:rsid w:val="000A40D3"/>
    <w:rsid w:val="000A4CAA"/>
    <w:rsid w:val="000A5FFE"/>
    <w:rsid w:val="000A6B3B"/>
    <w:rsid w:val="000A76CA"/>
    <w:rsid w:val="000A7D2D"/>
    <w:rsid w:val="000B1980"/>
    <w:rsid w:val="000B345D"/>
    <w:rsid w:val="000B48FE"/>
    <w:rsid w:val="000B57AB"/>
    <w:rsid w:val="000B5C76"/>
    <w:rsid w:val="000B74B0"/>
    <w:rsid w:val="000C140A"/>
    <w:rsid w:val="000C2692"/>
    <w:rsid w:val="000C3473"/>
    <w:rsid w:val="000C48B6"/>
    <w:rsid w:val="000C4D83"/>
    <w:rsid w:val="000C7040"/>
    <w:rsid w:val="000C7D35"/>
    <w:rsid w:val="000D0C8C"/>
    <w:rsid w:val="000D20B9"/>
    <w:rsid w:val="000D25C3"/>
    <w:rsid w:val="000D25E4"/>
    <w:rsid w:val="000D2AC3"/>
    <w:rsid w:val="000D3961"/>
    <w:rsid w:val="000D4379"/>
    <w:rsid w:val="000D7B92"/>
    <w:rsid w:val="000E0653"/>
    <w:rsid w:val="000E09D3"/>
    <w:rsid w:val="000E246B"/>
    <w:rsid w:val="000E68B5"/>
    <w:rsid w:val="000E7B66"/>
    <w:rsid w:val="000F0ABD"/>
    <w:rsid w:val="000F0CDC"/>
    <w:rsid w:val="000F1FED"/>
    <w:rsid w:val="000F2DC0"/>
    <w:rsid w:val="000F39A4"/>
    <w:rsid w:val="000F39FE"/>
    <w:rsid w:val="000F4918"/>
    <w:rsid w:val="000F5BA4"/>
    <w:rsid w:val="000F5F56"/>
    <w:rsid w:val="000F6824"/>
    <w:rsid w:val="000F6AEF"/>
    <w:rsid w:val="001003E5"/>
    <w:rsid w:val="00100FEC"/>
    <w:rsid w:val="001014CF"/>
    <w:rsid w:val="00102261"/>
    <w:rsid w:val="00102CD3"/>
    <w:rsid w:val="001035C0"/>
    <w:rsid w:val="0010363A"/>
    <w:rsid w:val="00104032"/>
    <w:rsid w:val="00104E06"/>
    <w:rsid w:val="0010596C"/>
    <w:rsid w:val="00106359"/>
    <w:rsid w:val="0010636C"/>
    <w:rsid w:val="00106625"/>
    <w:rsid w:val="001068D1"/>
    <w:rsid w:val="001069E2"/>
    <w:rsid w:val="00111A5A"/>
    <w:rsid w:val="00111B0D"/>
    <w:rsid w:val="00111D2A"/>
    <w:rsid w:val="001142E7"/>
    <w:rsid w:val="0011458A"/>
    <w:rsid w:val="00114778"/>
    <w:rsid w:val="001174C7"/>
    <w:rsid w:val="0011753D"/>
    <w:rsid w:val="00117D05"/>
    <w:rsid w:val="0012091B"/>
    <w:rsid w:val="00120A81"/>
    <w:rsid w:val="0012112E"/>
    <w:rsid w:val="00122B94"/>
    <w:rsid w:val="00123595"/>
    <w:rsid w:val="00123680"/>
    <w:rsid w:val="00123993"/>
    <w:rsid w:val="0012589C"/>
    <w:rsid w:val="00125BC7"/>
    <w:rsid w:val="00125CE0"/>
    <w:rsid w:val="00125F07"/>
    <w:rsid w:val="00126235"/>
    <w:rsid w:val="00130943"/>
    <w:rsid w:val="00130A20"/>
    <w:rsid w:val="0013276C"/>
    <w:rsid w:val="0013299F"/>
    <w:rsid w:val="0013416B"/>
    <w:rsid w:val="00134632"/>
    <w:rsid w:val="001358B1"/>
    <w:rsid w:val="0013650A"/>
    <w:rsid w:val="00136955"/>
    <w:rsid w:val="00137B5B"/>
    <w:rsid w:val="00137DD6"/>
    <w:rsid w:val="00140061"/>
    <w:rsid w:val="00142E10"/>
    <w:rsid w:val="0014316E"/>
    <w:rsid w:val="00147FF9"/>
    <w:rsid w:val="001514AE"/>
    <w:rsid w:val="001538A6"/>
    <w:rsid w:val="001547CC"/>
    <w:rsid w:val="00156621"/>
    <w:rsid w:val="00156FD3"/>
    <w:rsid w:val="00160B9C"/>
    <w:rsid w:val="0016349A"/>
    <w:rsid w:val="00163567"/>
    <w:rsid w:val="00164C91"/>
    <w:rsid w:val="00164FF0"/>
    <w:rsid w:val="00165CA7"/>
    <w:rsid w:val="00166645"/>
    <w:rsid w:val="0017035A"/>
    <w:rsid w:val="0017079C"/>
    <w:rsid w:val="001736E6"/>
    <w:rsid w:val="00174E43"/>
    <w:rsid w:val="00175C21"/>
    <w:rsid w:val="00175CBA"/>
    <w:rsid w:val="00175EEE"/>
    <w:rsid w:val="00177B35"/>
    <w:rsid w:val="0018286D"/>
    <w:rsid w:val="00182BE3"/>
    <w:rsid w:val="00183C5A"/>
    <w:rsid w:val="00186AFD"/>
    <w:rsid w:val="001870DC"/>
    <w:rsid w:val="00190096"/>
    <w:rsid w:val="00190AFA"/>
    <w:rsid w:val="00190CC2"/>
    <w:rsid w:val="00190E7D"/>
    <w:rsid w:val="00191BB4"/>
    <w:rsid w:val="001926FC"/>
    <w:rsid w:val="00192DFA"/>
    <w:rsid w:val="00192E14"/>
    <w:rsid w:val="00196B61"/>
    <w:rsid w:val="00196BB1"/>
    <w:rsid w:val="00196F9C"/>
    <w:rsid w:val="001A25D3"/>
    <w:rsid w:val="001A3658"/>
    <w:rsid w:val="001A6FFF"/>
    <w:rsid w:val="001A7220"/>
    <w:rsid w:val="001A7D0C"/>
    <w:rsid w:val="001B00AF"/>
    <w:rsid w:val="001B1436"/>
    <w:rsid w:val="001B15DF"/>
    <w:rsid w:val="001B4FC1"/>
    <w:rsid w:val="001C05A5"/>
    <w:rsid w:val="001C1195"/>
    <w:rsid w:val="001C1396"/>
    <w:rsid w:val="001C1E5D"/>
    <w:rsid w:val="001C3F36"/>
    <w:rsid w:val="001C42F3"/>
    <w:rsid w:val="001C4A75"/>
    <w:rsid w:val="001C4D1D"/>
    <w:rsid w:val="001C5B6A"/>
    <w:rsid w:val="001C62FA"/>
    <w:rsid w:val="001C66E8"/>
    <w:rsid w:val="001D136B"/>
    <w:rsid w:val="001D25AC"/>
    <w:rsid w:val="001D4367"/>
    <w:rsid w:val="001D442F"/>
    <w:rsid w:val="001D4B44"/>
    <w:rsid w:val="001E0761"/>
    <w:rsid w:val="001E186B"/>
    <w:rsid w:val="001E357B"/>
    <w:rsid w:val="001E58D0"/>
    <w:rsid w:val="001E5F2C"/>
    <w:rsid w:val="001E5F6F"/>
    <w:rsid w:val="001E6049"/>
    <w:rsid w:val="001E67BD"/>
    <w:rsid w:val="001F079A"/>
    <w:rsid w:val="001F0A88"/>
    <w:rsid w:val="001F0ADB"/>
    <w:rsid w:val="001F134A"/>
    <w:rsid w:val="001F1D20"/>
    <w:rsid w:val="001F340D"/>
    <w:rsid w:val="001F3A24"/>
    <w:rsid w:val="001F3DE7"/>
    <w:rsid w:val="001F586C"/>
    <w:rsid w:val="001F6415"/>
    <w:rsid w:val="001F7226"/>
    <w:rsid w:val="002003F4"/>
    <w:rsid w:val="00200BC5"/>
    <w:rsid w:val="002026D9"/>
    <w:rsid w:val="0020323B"/>
    <w:rsid w:val="00205982"/>
    <w:rsid w:val="002107D8"/>
    <w:rsid w:val="0021138C"/>
    <w:rsid w:val="00211496"/>
    <w:rsid w:val="0021193A"/>
    <w:rsid w:val="00211B63"/>
    <w:rsid w:val="00211C70"/>
    <w:rsid w:val="00211E98"/>
    <w:rsid w:val="00212FBD"/>
    <w:rsid w:val="00213A54"/>
    <w:rsid w:val="00213A6B"/>
    <w:rsid w:val="00214123"/>
    <w:rsid w:val="0021429A"/>
    <w:rsid w:val="00214A58"/>
    <w:rsid w:val="00215879"/>
    <w:rsid w:val="00215AC8"/>
    <w:rsid w:val="002165D9"/>
    <w:rsid w:val="00216FE9"/>
    <w:rsid w:val="00217068"/>
    <w:rsid w:val="002176CB"/>
    <w:rsid w:val="00223085"/>
    <w:rsid w:val="00224882"/>
    <w:rsid w:val="0022560D"/>
    <w:rsid w:val="002256D5"/>
    <w:rsid w:val="00225FE5"/>
    <w:rsid w:val="00226198"/>
    <w:rsid w:val="00227246"/>
    <w:rsid w:val="0023018A"/>
    <w:rsid w:val="002307D3"/>
    <w:rsid w:val="00231703"/>
    <w:rsid w:val="0023192F"/>
    <w:rsid w:val="002332B3"/>
    <w:rsid w:val="00234006"/>
    <w:rsid w:val="0023470A"/>
    <w:rsid w:val="00234FD3"/>
    <w:rsid w:val="00235741"/>
    <w:rsid w:val="00235C71"/>
    <w:rsid w:val="00237E80"/>
    <w:rsid w:val="00240434"/>
    <w:rsid w:val="002404B4"/>
    <w:rsid w:val="002427DF"/>
    <w:rsid w:val="00242DE3"/>
    <w:rsid w:val="00243D99"/>
    <w:rsid w:val="002475F7"/>
    <w:rsid w:val="00250442"/>
    <w:rsid w:val="00251709"/>
    <w:rsid w:val="00252F06"/>
    <w:rsid w:val="00253544"/>
    <w:rsid w:val="002538FC"/>
    <w:rsid w:val="00253F2F"/>
    <w:rsid w:val="00257398"/>
    <w:rsid w:val="00257C47"/>
    <w:rsid w:val="00257C7A"/>
    <w:rsid w:val="00261FC8"/>
    <w:rsid w:val="002631C9"/>
    <w:rsid w:val="0026423A"/>
    <w:rsid w:val="00264862"/>
    <w:rsid w:val="00266461"/>
    <w:rsid w:val="00266EA1"/>
    <w:rsid w:val="002704D1"/>
    <w:rsid w:val="0027100A"/>
    <w:rsid w:val="002728E9"/>
    <w:rsid w:val="002746C3"/>
    <w:rsid w:val="00275741"/>
    <w:rsid w:val="00277E65"/>
    <w:rsid w:val="002808F4"/>
    <w:rsid w:val="00281857"/>
    <w:rsid w:val="00282139"/>
    <w:rsid w:val="00282937"/>
    <w:rsid w:val="002831D0"/>
    <w:rsid w:val="00283A56"/>
    <w:rsid w:val="00284663"/>
    <w:rsid w:val="00286807"/>
    <w:rsid w:val="00287CE1"/>
    <w:rsid w:val="00290168"/>
    <w:rsid w:val="002920BA"/>
    <w:rsid w:val="00292555"/>
    <w:rsid w:val="00292585"/>
    <w:rsid w:val="00292850"/>
    <w:rsid w:val="002930A2"/>
    <w:rsid w:val="002932A9"/>
    <w:rsid w:val="0029479B"/>
    <w:rsid w:val="002947BA"/>
    <w:rsid w:val="00294E01"/>
    <w:rsid w:val="00295279"/>
    <w:rsid w:val="0029528B"/>
    <w:rsid w:val="002963C2"/>
    <w:rsid w:val="002A028C"/>
    <w:rsid w:val="002A0E41"/>
    <w:rsid w:val="002A1074"/>
    <w:rsid w:val="002A1B1B"/>
    <w:rsid w:val="002A2DE3"/>
    <w:rsid w:val="002A407E"/>
    <w:rsid w:val="002A5BDB"/>
    <w:rsid w:val="002A5EF4"/>
    <w:rsid w:val="002A6017"/>
    <w:rsid w:val="002A6653"/>
    <w:rsid w:val="002A6D44"/>
    <w:rsid w:val="002A6D83"/>
    <w:rsid w:val="002A7330"/>
    <w:rsid w:val="002B0B12"/>
    <w:rsid w:val="002B1080"/>
    <w:rsid w:val="002B4F2A"/>
    <w:rsid w:val="002B509E"/>
    <w:rsid w:val="002B6790"/>
    <w:rsid w:val="002B777B"/>
    <w:rsid w:val="002B7B2B"/>
    <w:rsid w:val="002C0465"/>
    <w:rsid w:val="002C137F"/>
    <w:rsid w:val="002C19D8"/>
    <w:rsid w:val="002C1E12"/>
    <w:rsid w:val="002C22D6"/>
    <w:rsid w:val="002C2B38"/>
    <w:rsid w:val="002C2E73"/>
    <w:rsid w:val="002C45E1"/>
    <w:rsid w:val="002C50EB"/>
    <w:rsid w:val="002C7C65"/>
    <w:rsid w:val="002D0BE1"/>
    <w:rsid w:val="002D1D5C"/>
    <w:rsid w:val="002D567E"/>
    <w:rsid w:val="002D701C"/>
    <w:rsid w:val="002D763F"/>
    <w:rsid w:val="002D7822"/>
    <w:rsid w:val="002D7CCB"/>
    <w:rsid w:val="002E0573"/>
    <w:rsid w:val="002E10AE"/>
    <w:rsid w:val="002E1A8D"/>
    <w:rsid w:val="002E226E"/>
    <w:rsid w:val="002E3E2A"/>
    <w:rsid w:val="002E418C"/>
    <w:rsid w:val="002E570E"/>
    <w:rsid w:val="002E5AF0"/>
    <w:rsid w:val="002F1BE4"/>
    <w:rsid w:val="002F1C7B"/>
    <w:rsid w:val="002F2B7F"/>
    <w:rsid w:val="002F3BAE"/>
    <w:rsid w:val="002F4CC8"/>
    <w:rsid w:val="002F5B1A"/>
    <w:rsid w:val="002F62DB"/>
    <w:rsid w:val="002F641E"/>
    <w:rsid w:val="002F7D1D"/>
    <w:rsid w:val="00300E91"/>
    <w:rsid w:val="00301981"/>
    <w:rsid w:val="00302624"/>
    <w:rsid w:val="00303749"/>
    <w:rsid w:val="0030424B"/>
    <w:rsid w:val="00304546"/>
    <w:rsid w:val="0031015A"/>
    <w:rsid w:val="00310BC0"/>
    <w:rsid w:val="003111AD"/>
    <w:rsid w:val="003146D7"/>
    <w:rsid w:val="00314AF8"/>
    <w:rsid w:val="00315C35"/>
    <w:rsid w:val="00315D56"/>
    <w:rsid w:val="0031624D"/>
    <w:rsid w:val="003168C0"/>
    <w:rsid w:val="00316C8F"/>
    <w:rsid w:val="003213EF"/>
    <w:rsid w:val="00321426"/>
    <w:rsid w:val="003219BF"/>
    <w:rsid w:val="00322CB9"/>
    <w:rsid w:val="00322D72"/>
    <w:rsid w:val="003233B5"/>
    <w:rsid w:val="00326828"/>
    <w:rsid w:val="00326AD1"/>
    <w:rsid w:val="00326E8D"/>
    <w:rsid w:val="00327355"/>
    <w:rsid w:val="00330640"/>
    <w:rsid w:val="003348E9"/>
    <w:rsid w:val="00334E66"/>
    <w:rsid w:val="00334ED5"/>
    <w:rsid w:val="00335837"/>
    <w:rsid w:val="003359AE"/>
    <w:rsid w:val="00335DA6"/>
    <w:rsid w:val="003362F8"/>
    <w:rsid w:val="00337181"/>
    <w:rsid w:val="00337FE7"/>
    <w:rsid w:val="003403C5"/>
    <w:rsid w:val="003409A2"/>
    <w:rsid w:val="00340B09"/>
    <w:rsid w:val="00342272"/>
    <w:rsid w:val="003438DC"/>
    <w:rsid w:val="00343ADB"/>
    <w:rsid w:val="003441A9"/>
    <w:rsid w:val="00347B28"/>
    <w:rsid w:val="003524B4"/>
    <w:rsid w:val="00352571"/>
    <w:rsid w:val="003530AC"/>
    <w:rsid w:val="0035320C"/>
    <w:rsid w:val="003550BE"/>
    <w:rsid w:val="0035527C"/>
    <w:rsid w:val="00355F22"/>
    <w:rsid w:val="003577A5"/>
    <w:rsid w:val="003603A2"/>
    <w:rsid w:val="00360EA5"/>
    <w:rsid w:val="0036228D"/>
    <w:rsid w:val="0036251E"/>
    <w:rsid w:val="00362968"/>
    <w:rsid w:val="003629F8"/>
    <w:rsid w:val="003635B7"/>
    <w:rsid w:val="00363DFF"/>
    <w:rsid w:val="00364077"/>
    <w:rsid w:val="003643B0"/>
    <w:rsid w:val="003645DD"/>
    <w:rsid w:val="003663F1"/>
    <w:rsid w:val="00367C28"/>
    <w:rsid w:val="0037092F"/>
    <w:rsid w:val="00372924"/>
    <w:rsid w:val="00373489"/>
    <w:rsid w:val="003737E7"/>
    <w:rsid w:val="00381431"/>
    <w:rsid w:val="00382601"/>
    <w:rsid w:val="003833B4"/>
    <w:rsid w:val="003839BB"/>
    <w:rsid w:val="00383DB0"/>
    <w:rsid w:val="00385849"/>
    <w:rsid w:val="00385BF8"/>
    <w:rsid w:val="00385C32"/>
    <w:rsid w:val="00386CC2"/>
    <w:rsid w:val="003900D6"/>
    <w:rsid w:val="00390F0A"/>
    <w:rsid w:val="00391C79"/>
    <w:rsid w:val="00392103"/>
    <w:rsid w:val="003922B1"/>
    <w:rsid w:val="003929A4"/>
    <w:rsid w:val="00393462"/>
    <w:rsid w:val="00393F1E"/>
    <w:rsid w:val="00395E4E"/>
    <w:rsid w:val="0039692E"/>
    <w:rsid w:val="003970A3"/>
    <w:rsid w:val="003A18F7"/>
    <w:rsid w:val="003A2933"/>
    <w:rsid w:val="003A2DD1"/>
    <w:rsid w:val="003A3B70"/>
    <w:rsid w:val="003A4929"/>
    <w:rsid w:val="003A6682"/>
    <w:rsid w:val="003A6AE5"/>
    <w:rsid w:val="003A7C4E"/>
    <w:rsid w:val="003B0A5C"/>
    <w:rsid w:val="003B1CC6"/>
    <w:rsid w:val="003B1E01"/>
    <w:rsid w:val="003B1E35"/>
    <w:rsid w:val="003B25DB"/>
    <w:rsid w:val="003B3193"/>
    <w:rsid w:val="003B38FB"/>
    <w:rsid w:val="003B7EB1"/>
    <w:rsid w:val="003C022D"/>
    <w:rsid w:val="003C02D6"/>
    <w:rsid w:val="003C1537"/>
    <w:rsid w:val="003C26A1"/>
    <w:rsid w:val="003C2CD2"/>
    <w:rsid w:val="003C418E"/>
    <w:rsid w:val="003C51E8"/>
    <w:rsid w:val="003C5C47"/>
    <w:rsid w:val="003C6F79"/>
    <w:rsid w:val="003D0A16"/>
    <w:rsid w:val="003D0B85"/>
    <w:rsid w:val="003D0FB4"/>
    <w:rsid w:val="003D1DCF"/>
    <w:rsid w:val="003D4160"/>
    <w:rsid w:val="003D44D3"/>
    <w:rsid w:val="003D5CEB"/>
    <w:rsid w:val="003D5EE7"/>
    <w:rsid w:val="003D69BF"/>
    <w:rsid w:val="003D6F65"/>
    <w:rsid w:val="003E0727"/>
    <w:rsid w:val="003E085E"/>
    <w:rsid w:val="003E08E9"/>
    <w:rsid w:val="003E0EB4"/>
    <w:rsid w:val="003E1621"/>
    <w:rsid w:val="003E1BDF"/>
    <w:rsid w:val="003E1C6A"/>
    <w:rsid w:val="003E34B8"/>
    <w:rsid w:val="003E3AD2"/>
    <w:rsid w:val="003E4296"/>
    <w:rsid w:val="003E4626"/>
    <w:rsid w:val="003E489B"/>
    <w:rsid w:val="003E5359"/>
    <w:rsid w:val="003F0C91"/>
    <w:rsid w:val="003F12B2"/>
    <w:rsid w:val="003F194E"/>
    <w:rsid w:val="003F23FD"/>
    <w:rsid w:val="003F25E2"/>
    <w:rsid w:val="003F2D65"/>
    <w:rsid w:val="003F50C5"/>
    <w:rsid w:val="003F547A"/>
    <w:rsid w:val="00403796"/>
    <w:rsid w:val="00404D22"/>
    <w:rsid w:val="004052E8"/>
    <w:rsid w:val="00406D76"/>
    <w:rsid w:val="004079CE"/>
    <w:rsid w:val="004106C8"/>
    <w:rsid w:val="00410D85"/>
    <w:rsid w:val="00412DBF"/>
    <w:rsid w:val="00413E1A"/>
    <w:rsid w:val="0041474F"/>
    <w:rsid w:val="00415584"/>
    <w:rsid w:val="00415785"/>
    <w:rsid w:val="004166E3"/>
    <w:rsid w:val="0041689E"/>
    <w:rsid w:val="00420BE7"/>
    <w:rsid w:val="0042149C"/>
    <w:rsid w:val="00421FC8"/>
    <w:rsid w:val="0042215A"/>
    <w:rsid w:val="00422852"/>
    <w:rsid w:val="00422BF3"/>
    <w:rsid w:val="004257A7"/>
    <w:rsid w:val="00425C54"/>
    <w:rsid w:val="00425CA0"/>
    <w:rsid w:val="004272D1"/>
    <w:rsid w:val="004323AE"/>
    <w:rsid w:val="004328FA"/>
    <w:rsid w:val="00432BA2"/>
    <w:rsid w:val="00432EF3"/>
    <w:rsid w:val="00433EDE"/>
    <w:rsid w:val="0043498B"/>
    <w:rsid w:val="00435088"/>
    <w:rsid w:val="004375E7"/>
    <w:rsid w:val="004402BD"/>
    <w:rsid w:val="00441780"/>
    <w:rsid w:val="00442179"/>
    <w:rsid w:val="004431EF"/>
    <w:rsid w:val="00444136"/>
    <w:rsid w:val="00445236"/>
    <w:rsid w:val="00446B90"/>
    <w:rsid w:val="00447B16"/>
    <w:rsid w:val="00447FAF"/>
    <w:rsid w:val="004504D8"/>
    <w:rsid w:val="00450C85"/>
    <w:rsid w:val="00453092"/>
    <w:rsid w:val="00454AA4"/>
    <w:rsid w:val="00455142"/>
    <w:rsid w:val="0045541B"/>
    <w:rsid w:val="004565BE"/>
    <w:rsid w:val="0046002D"/>
    <w:rsid w:val="004631F7"/>
    <w:rsid w:val="004648B1"/>
    <w:rsid w:val="00466831"/>
    <w:rsid w:val="00467FD9"/>
    <w:rsid w:val="00471374"/>
    <w:rsid w:val="00473175"/>
    <w:rsid w:val="00474686"/>
    <w:rsid w:val="004748D6"/>
    <w:rsid w:val="004749CE"/>
    <w:rsid w:val="004766FA"/>
    <w:rsid w:val="00480117"/>
    <w:rsid w:val="00480722"/>
    <w:rsid w:val="004849A4"/>
    <w:rsid w:val="0048577D"/>
    <w:rsid w:val="0048679D"/>
    <w:rsid w:val="00486813"/>
    <w:rsid w:val="0048689A"/>
    <w:rsid w:val="00487948"/>
    <w:rsid w:val="00490043"/>
    <w:rsid w:val="0049117D"/>
    <w:rsid w:val="00491BB8"/>
    <w:rsid w:val="00492FBA"/>
    <w:rsid w:val="004932EC"/>
    <w:rsid w:val="00494A0D"/>
    <w:rsid w:val="00496417"/>
    <w:rsid w:val="004A1B82"/>
    <w:rsid w:val="004A3351"/>
    <w:rsid w:val="004A3F42"/>
    <w:rsid w:val="004A427D"/>
    <w:rsid w:val="004A4C7A"/>
    <w:rsid w:val="004A7A5D"/>
    <w:rsid w:val="004B1675"/>
    <w:rsid w:val="004B1FC0"/>
    <w:rsid w:val="004B228C"/>
    <w:rsid w:val="004B2738"/>
    <w:rsid w:val="004B2F40"/>
    <w:rsid w:val="004B64A6"/>
    <w:rsid w:val="004B7255"/>
    <w:rsid w:val="004C3369"/>
    <w:rsid w:val="004C4725"/>
    <w:rsid w:val="004C4EBC"/>
    <w:rsid w:val="004C5165"/>
    <w:rsid w:val="004C55B3"/>
    <w:rsid w:val="004C6014"/>
    <w:rsid w:val="004C6AD5"/>
    <w:rsid w:val="004C738A"/>
    <w:rsid w:val="004C7B7B"/>
    <w:rsid w:val="004D2040"/>
    <w:rsid w:val="004D22DB"/>
    <w:rsid w:val="004D26FA"/>
    <w:rsid w:val="004D2AF4"/>
    <w:rsid w:val="004D33F1"/>
    <w:rsid w:val="004D5000"/>
    <w:rsid w:val="004D64F0"/>
    <w:rsid w:val="004E107B"/>
    <w:rsid w:val="004E16A3"/>
    <w:rsid w:val="004E19D3"/>
    <w:rsid w:val="004E3477"/>
    <w:rsid w:val="004E5032"/>
    <w:rsid w:val="004E6EFB"/>
    <w:rsid w:val="004F1BE5"/>
    <w:rsid w:val="004F2FB8"/>
    <w:rsid w:val="004F424F"/>
    <w:rsid w:val="004F54FA"/>
    <w:rsid w:val="004F612F"/>
    <w:rsid w:val="004F62BD"/>
    <w:rsid w:val="004F6B82"/>
    <w:rsid w:val="005020DD"/>
    <w:rsid w:val="005022ED"/>
    <w:rsid w:val="0050293A"/>
    <w:rsid w:val="00504A18"/>
    <w:rsid w:val="005054CB"/>
    <w:rsid w:val="0050551E"/>
    <w:rsid w:val="0050698A"/>
    <w:rsid w:val="00510022"/>
    <w:rsid w:val="005102EB"/>
    <w:rsid w:val="0051198F"/>
    <w:rsid w:val="00511F83"/>
    <w:rsid w:val="0051416A"/>
    <w:rsid w:val="00515B1F"/>
    <w:rsid w:val="00515E0D"/>
    <w:rsid w:val="00515FB3"/>
    <w:rsid w:val="00516733"/>
    <w:rsid w:val="00517173"/>
    <w:rsid w:val="00521061"/>
    <w:rsid w:val="00521681"/>
    <w:rsid w:val="0052229A"/>
    <w:rsid w:val="0052257A"/>
    <w:rsid w:val="00522888"/>
    <w:rsid w:val="0052463C"/>
    <w:rsid w:val="00524744"/>
    <w:rsid w:val="005250C2"/>
    <w:rsid w:val="0052572E"/>
    <w:rsid w:val="00526A73"/>
    <w:rsid w:val="00526BEE"/>
    <w:rsid w:val="00526C75"/>
    <w:rsid w:val="00532719"/>
    <w:rsid w:val="00533128"/>
    <w:rsid w:val="005339DA"/>
    <w:rsid w:val="0053625C"/>
    <w:rsid w:val="00536AC2"/>
    <w:rsid w:val="00536E00"/>
    <w:rsid w:val="005371E4"/>
    <w:rsid w:val="0054079E"/>
    <w:rsid w:val="00540A04"/>
    <w:rsid w:val="00541737"/>
    <w:rsid w:val="0054193C"/>
    <w:rsid w:val="0054217D"/>
    <w:rsid w:val="00542276"/>
    <w:rsid w:val="00545EFC"/>
    <w:rsid w:val="00545FBA"/>
    <w:rsid w:val="0054693B"/>
    <w:rsid w:val="00546D72"/>
    <w:rsid w:val="00550801"/>
    <w:rsid w:val="005510A9"/>
    <w:rsid w:val="00554124"/>
    <w:rsid w:val="0055446C"/>
    <w:rsid w:val="00554525"/>
    <w:rsid w:val="00557B35"/>
    <w:rsid w:val="0056088A"/>
    <w:rsid w:val="00561CD8"/>
    <w:rsid w:val="00563BAD"/>
    <w:rsid w:val="00563DD0"/>
    <w:rsid w:val="00563DEC"/>
    <w:rsid w:val="005660AA"/>
    <w:rsid w:val="0056745E"/>
    <w:rsid w:val="005707EE"/>
    <w:rsid w:val="005716F3"/>
    <w:rsid w:val="00571EE7"/>
    <w:rsid w:val="005744AF"/>
    <w:rsid w:val="00575CE9"/>
    <w:rsid w:val="00575CEB"/>
    <w:rsid w:val="00576582"/>
    <w:rsid w:val="005766A7"/>
    <w:rsid w:val="00576836"/>
    <w:rsid w:val="00576A01"/>
    <w:rsid w:val="0057705A"/>
    <w:rsid w:val="00577372"/>
    <w:rsid w:val="005773B6"/>
    <w:rsid w:val="00577713"/>
    <w:rsid w:val="00577B03"/>
    <w:rsid w:val="0058085F"/>
    <w:rsid w:val="005816CF"/>
    <w:rsid w:val="005831D0"/>
    <w:rsid w:val="00583313"/>
    <w:rsid w:val="00583FA1"/>
    <w:rsid w:val="005917B4"/>
    <w:rsid w:val="00592FE2"/>
    <w:rsid w:val="005930C4"/>
    <w:rsid w:val="005931F6"/>
    <w:rsid w:val="00593CD4"/>
    <w:rsid w:val="0059585D"/>
    <w:rsid w:val="00596DDB"/>
    <w:rsid w:val="00597925"/>
    <w:rsid w:val="005A04B3"/>
    <w:rsid w:val="005A0D51"/>
    <w:rsid w:val="005A1DF1"/>
    <w:rsid w:val="005A20CB"/>
    <w:rsid w:val="005A2296"/>
    <w:rsid w:val="005A3563"/>
    <w:rsid w:val="005A618F"/>
    <w:rsid w:val="005A69D1"/>
    <w:rsid w:val="005A7D53"/>
    <w:rsid w:val="005B013F"/>
    <w:rsid w:val="005B05FA"/>
    <w:rsid w:val="005B08FA"/>
    <w:rsid w:val="005B0FCC"/>
    <w:rsid w:val="005B1126"/>
    <w:rsid w:val="005B11E0"/>
    <w:rsid w:val="005B16E0"/>
    <w:rsid w:val="005B1902"/>
    <w:rsid w:val="005B275D"/>
    <w:rsid w:val="005B377A"/>
    <w:rsid w:val="005B4023"/>
    <w:rsid w:val="005B6240"/>
    <w:rsid w:val="005B6D07"/>
    <w:rsid w:val="005B75E6"/>
    <w:rsid w:val="005C00AD"/>
    <w:rsid w:val="005C035E"/>
    <w:rsid w:val="005C0A31"/>
    <w:rsid w:val="005C195E"/>
    <w:rsid w:val="005C1C91"/>
    <w:rsid w:val="005C1F77"/>
    <w:rsid w:val="005C50D5"/>
    <w:rsid w:val="005C5815"/>
    <w:rsid w:val="005C6E94"/>
    <w:rsid w:val="005C7EB8"/>
    <w:rsid w:val="005D11B0"/>
    <w:rsid w:val="005D11BF"/>
    <w:rsid w:val="005D335E"/>
    <w:rsid w:val="005D4551"/>
    <w:rsid w:val="005D7BDF"/>
    <w:rsid w:val="005E163C"/>
    <w:rsid w:val="005E5A46"/>
    <w:rsid w:val="005E5E8D"/>
    <w:rsid w:val="005E5F63"/>
    <w:rsid w:val="005E70CC"/>
    <w:rsid w:val="005F051F"/>
    <w:rsid w:val="005F0A85"/>
    <w:rsid w:val="005F161F"/>
    <w:rsid w:val="005F17E3"/>
    <w:rsid w:val="005F238D"/>
    <w:rsid w:val="005F2942"/>
    <w:rsid w:val="005F2ADB"/>
    <w:rsid w:val="005F3183"/>
    <w:rsid w:val="005F365D"/>
    <w:rsid w:val="005F4134"/>
    <w:rsid w:val="005F4B1F"/>
    <w:rsid w:val="005F53E2"/>
    <w:rsid w:val="005F6BBD"/>
    <w:rsid w:val="005F70A0"/>
    <w:rsid w:val="005F73CA"/>
    <w:rsid w:val="005F7AB5"/>
    <w:rsid w:val="00600FAC"/>
    <w:rsid w:val="0060199D"/>
    <w:rsid w:val="00602304"/>
    <w:rsid w:val="00603522"/>
    <w:rsid w:val="00605075"/>
    <w:rsid w:val="006062B3"/>
    <w:rsid w:val="00606986"/>
    <w:rsid w:val="00606B41"/>
    <w:rsid w:val="00607FDA"/>
    <w:rsid w:val="00610670"/>
    <w:rsid w:val="00611ED7"/>
    <w:rsid w:val="006125DB"/>
    <w:rsid w:val="00612E62"/>
    <w:rsid w:val="00613981"/>
    <w:rsid w:val="00614BAB"/>
    <w:rsid w:val="00617147"/>
    <w:rsid w:val="00622F1C"/>
    <w:rsid w:val="00624BB8"/>
    <w:rsid w:val="00626F98"/>
    <w:rsid w:val="00630697"/>
    <w:rsid w:val="00633D9E"/>
    <w:rsid w:val="00634EDF"/>
    <w:rsid w:val="00635039"/>
    <w:rsid w:val="0063531B"/>
    <w:rsid w:val="0063697B"/>
    <w:rsid w:val="006439B5"/>
    <w:rsid w:val="00643E7F"/>
    <w:rsid w:val="0064471E"/>
    <w:rsid w:val="00646DAC"/>
    <w:rsid w:val="006477A8"/>
    <w:rsid w:val="006501EE"/>
    <w:rsid w:val="006502E5"/>
    <w:rsid w:val="00650D2F"/>
    <w:rsid w:val="006510F4"/>
    <w:rsid w:val="00652322"/>
    <w:rsid w:val="00653CE8"/>
    <w:rsid w:val="0065516A"/>
    <w:rsid w:val="00655EF9"/>
    <w:rsid w:val="00657FE5"/>
    <w:rsid w:val="006626FC"/>
    <w:rsid w:val="0066570A"/>
    <w:rsid w:val="00665AFE"/>
    <w:rsid w:val="00665D6B"/>
    <w:rsid w:val="0066722D"/>
    <w:rsid w:val="00667379"/>
    <w:rsid w:val="006715D4"/>
    <w:rsid w:val="00671982"/>
    <w:rsid w:val="00672418"/>
    <w:rsid w:val="00672BC2"/>
    <w:rsid w:val="006753CD"/>
    <w:rsid w:val="00676C7A"/>
    <w:rsid w:val="00677A29"/>
    <w:rsid w:val="0068038F"/>
    <w:rsid w:val="006805BF"/>
    <w:rsid w:val="00682B0C"/>
    <w:rsid w:val="00683449"/>
    <w:rsid w:val="006834EA"/>
    <w:rsid w:val="0068399A"/>
    <w:rsid w:val="00683E43"/>
    <w:rsid w:val="00684167"/>
    <w:rsid w:val="00687B61"/>
    <w:rsid w:val="00687F49"/>
    <w:rsid w:val="00690FFF"/>
    <w:rsid w:val="006915BC"/>
    <w:rsid w:val="00692A54"/>
    <w:rsid w:val="00692B6E"/>
    <w:rsid w:val="0069453F"/>
    <w:rsid w:val="0069476F"/>
    <w:rsid w:val="00695347"/>
    <w:rsid w:val="0069732C"/>
    <w:rsid w:val="00697431"/>
    <w:rsid w:val="0069761C"/>
    <w:rsid w:val="00697E25"/>
    <w:rsid w:val="006A0C4A"/>
    <w:rsid w:val="006A11F1"/>
    <w:rsid w:val="006A213F"/>
    <w:rsid w:val="006A3282"/>
    <w:rsid w:val="006A3688"/>
    <w:rsid w:val="006A405A"/>
    <w:rsid w:val="006A4E0D"/>
    <w:rsid w:val="006A59DF"/>
    <w:rsid w:val="006A61BA"/>
    <w:rsid w:val="006A78C6"/>
    <w:rsid w:val="006B029F"/>
    <w:rsid w:val="006B0FBC"/>
    <w:rsid w:val="006B1600"/>
    <w:rsid w:val="006B1CC4"/>
    <w:rsid w:val="006B1E6C"/>
    <w:rsid w:val="006B22D5"/>
    <w:rsid w:val="006B2CD9"/>
    <w:rsid w:val="006B45FB"/>
    <w:rsid w:val="006B486E"/>
    <w:rsid w:val="006B5363"/>
    <w:rsid w:val="006B6193"/>
    <w:rsid w:val="006B707A"/>
    <w:rsid w:val="006B7ADD"/>
    <w:rsid w:val="006C145E"/>
    <w:rsid w:val="006C30EC"/>
    <w:rsid w:val="006C678B"/>
    <w:rsid w:val="006C6D1A"/>
    <w:rsid w:val="006C7387"/>
    <w:rsid w:val="006C742D"/>
    <w:rsid w:val="006C7886"/>
    <w:rsid w:val="006D0008"/>
    <w:rsid w:val="006D0867"/>
    <w:rsid w:val="006D08E1"/>
    <w:rsid w:val="006D2CFD"/>
    <w:rsid w:val="006D47E9"/>
    <w:rsid w:val="006D6F58"/>
    <w:rsid w:val="006E39DC"/>
    <w:rsid w:val="006E5894"/>
    <w:rsid w:val="006E59E0"/>
    <w:rsid w:val="006E61FE"/>
    <w:rsid w:val="006E621B"/>
    <w:rsid w:val="006E634E"/>
    <w:rsid w:val="006E7D29"/>
    <w:rsid w:val="006F2522"/>
    <w:rsid w:val="006F6E92"/>
    <w:rsid w:val="0070036A"/>
    <w:rsid w:val="007008E6"/>
    <w:rsid w:val="00700D26"/>
    <w:rsid w:val="00702716"/>
    <w:rsid w:val="00702745"/>
    <w:rsid w:val="00702959"/>
    <w:rsid w:val="00702C5C"/>
    <w:rsid w:val="00703305"/>
    <w:rsid w:val="007037CC"/>
    <w:rsid w:val="00703FD1"/>
    <w:rsid w:val="00705B58"/>
    <w:rsid w:val="00707534"/>
    <w:rsid w:val="007076DF"/>
    <w:rsid w:val="00712C88"/>
    <w:rsid w:val="007144E5"/>
    <w:rsid w:val="00715060"/>
    <w:rsid w:val="00715918"/>
    <w:rsid w:val="007163AC"/>
    <w:rsid w:val="00716490"/>
    <w:rsid w:val="007165DD"/>
    <w:rsid w:val="007207EA"/>
    <w:rsid w:val="00722699"/>
    <w:rsid w:val="00723378"/>
    <w:rsid w:val="007237B7"/>
    <w:rsid w:val="00723A43"/>
    <w:rsid w:val="00723E79"/>
    <w:rsid w:val="00723F24"/>
    <w:rsid w:val="007252C4"/>
    <w:rsid w:val="00726067"/>
    <w:rsid w:val="007264A3"/>
    <w:rsid w:val="00726999"/>
    <w:rsid w:val="00726CBD"/>
    <w:rsid w:val="00727412"/>
    <w:rsid w:val="007274A2"/>
    <w:rsid w:val="00727698"/>
    <w:rsid w:val="00730F51"/>
    <w:rsid w:val="0073108F"/>
    <w:rsid w:val="00732247"/>
    <w:rsid w:val="00732E2B"/>
    <w:rsid w:val="00733CD1"/>
    <w:rsid w:val="007342AA"/>
    <w:rsid w:val="0073496A"/>
    <w:rsid w:val="0073518C"/>
    <w:rsid w:val="007362EE"/>
    <w:rsid w:val="00736C96"/>
    <w:rsid w:val="007431A8"/>
    <w:rsid w:val="00743459"/>
    <w:rsid w:val="0074452F"/>
    <w:rsid w:val="00744A44"/>
    <w:rsid w:val="0074584A"/>
    <w:rsid w:val="00745B04"/>
    <w:rsid w:val="00751D84"/>
    <w:rsid w:val="007528E3"/>
    <w:rsid w:val="00753F12"/>
    <w:rsid w:val="007549AA"/>
    <w:rsid w:val="00756C65"/>
    <w:rsid w:val="007579FF"/>
    <w:rsid w:val="0076086E"/>
    <w:rsid w:val="007608F3"/>
    <w:rsid w:val="00760F6D"/>
    <w:rsid w:val="00762023"/>
    <w:rsid w:val="00762B56"/>
    <w:rsid w:val="00763793"/>
    <w:rsid w:val="007639A1"/>
    <w:rsid w:val="007646F4"/>
    <w:rsid w:val="007659E7"/>
    <w:rsid w:val="0076785F"/>
    <w:rsid w:val="00770F51"/>
    <w:rsid w:val="0077106B"/>
    <w:rsid w:val="00771549"/>
    <w:rsid w:val="00772729"/>
    <w:rsid w:val="00772E74"/>
    <w:rsid w:val="00774233"/>
    <w:rsid w:val="00774CBC"/>
    <w:rsid w:val="00774D80"/>
    <w:rsid w:val="00774FC8"/>
    <w:rsid w:val="00775D02"/>
    <w:rsid w:val="00776AC5"/>
    <w:rsid w:val="0077AF14"/>
    <w:rsid w:val="00780189"/>
    <w:rsid w:val="00780AD6"/>
    <w:rsid w:val="007858A7"/>
    <w:rsid w:val="00785FEE"/>
    <w:rsid w:val="00786B38"/>
    <w:rsid w:val="00790FA2"/>
    <w:rsid w:val="0079108F"/>
    <w:rsid w:val="007912B5"/>
    <w:rsid w:val="00792527"/>
    <w:rsid w:val="0079391B"/>
    <w:rsid w:val="00793EAF"/>
    <w:rsid w:val="007951A3"/>
    <w:rsid w:val="007965C8"/>
    <w:rsid w:val="007968EE"/>
    <w:rsid w:val="00796C2C"/>
    <w:rsid w:val="00796C98"/>
    <w:rsid w:val="007A013B"/>
    <w:rsid w:val="007A06C6"/>
    <w:rsid w:val="007A09C4"/>
    <w:rsid w:val="007A2C2B"/>
    <w:rsid w:val="007A5164"/>
    <w:rsid w:val="007A56ED"/>
    <w:rsid w:val="007A65CD"/>
    <w:rsid w:val="007A698C"/>
    <w:rsid w:val="007A6C01"/>
    <w:rsid w:val="007A6D83"/>
    <w:rsid w:val="007A74B7"/>
    <w:rsid w:val="007A771D"/>
    <w:rsid w:val="007B05E4"/>
    <w:rsid w:val="007B06C0"/>
    <w:rsid w:val="007B111F"/>
    <w:rsid w:val="007B26AC"/>
    <w:rsid w:val="007B29D4"/>
    <w:rsid w:val="007B395C"/>
    <w:rsid w:val="007B4B6F"/>
    <w:rsid w:val="007B716C"/>
    <w:rsid w:val="007B73EA"/>
    <w:rsid w:val="007C044E"/>
    <w:rsid w:val="007C128F"/>
    <w:rsid w:val="007C31BC"/>
    <w:rsid w:val="007C4C5C"/>
    <w:rsid w:val="007C6038"/>
    <w:rsid w:val="007C716A"/>
    <w:rsid w:val="007D06E5"/>
    <w:rsid w:val="007D24CA"/>
    <w:rsid w:val="007D414A"/>
    <w:rsid w:val="007D4486"/>
    <w:rsid w:val="007D4901"/>
    <w:rsid w:val="007D620D"/>
    <w:rsid w:val="007D69D2"/>
    <w:rsid w:val="007E074C"/>
    <w:rsid w:val="007E2032"/>
    <w:rsid w:val="007E42BE"/>
    <w:rsid w:val="007E4537"/>
    <w:rsid w:val="007E67DE"/>
    <w:rsid w:val="007E7002"/>
    <w:rsid w:val="007F09B3"/>
    <w:rsid w:val="007F102D"/>
    <w:rsid w:val="007F1156"/>
    <w:rsid w:val="007F2227"/>
    <w:rsid w:val="007F2647"/>
    <w:rsid w:val="007F2D20"/>
    <w:rsid w:val="007F2EC9"/>
    <w:rsid w:val="007F4E67"/>
    <w:rsid w:val="007F5A72"/>
    <w:rsid w:val="007F5B44"/>
    <w:rsid w:val="007F5D13"/>
    <w:rsid w:val="007F637E"/>
    <w:rsid w:val="007F6604"/>
    <w:rsid w:val="007F765C"/>
    <w:rsid w:val="0080106E"/>
    <w:rsid w:val="00801EED"/>
    <w:rsid w:val="008022CE"/>
    <w:rsid w:val="00803A3B"/>
    <w:rsid w:val="00804E36"/>
    <w:rsid w:val="00806812"/>
    <w:rsid w:val="0080796F"/>
    <w:rsid w:val="0081066D"/>
    <w:rsid w:val="008113A2"/>
    <w:rsid w:val="00811689"/>
    <w:rsid w:val="008118F4"/>
    <w:rsid w:val="0081369B"/>
    <w:rsid w:val="0081370C"/>
    <w:rsid w:val="008140A4"/>
    <w:rsid w:val="0081612F"/>
    <w:rsid w:val="00817A8C"/>
    <w:rsid w:val="0082013D"/>
    <w:rsid w:val="00820BB8"/>
    <w:rsid w:val="0082153C"/>
    <w:rsid w:val="00822C08"/>
    <w:rsid w:val="00824146"/>
    <w:rsid w:val="00824794"/>
    <w:rsid w:val="00825717"/>
    <w:rsid w:val="008273C6"/>
    <w:rsid w:val="00827AA3"/>
    <w:rsid w:val="00830D52"/>
    <w:rsid w:val="008315E5"/>
    <w:rsid w:val="008316A6"/>
    <w:rsid w:val="00831D18"/>
    <w:rsid w:val="00832DD6"/>
    <w:rsid w:val="00833007"/>
    <w:rsid w:val="0083443C"/>
    <w:rsid w:val="00834707"/>
    <w:rsid w:val="008359E9"/>
    <w:rsid w:val="008369EB"/>
    <w:rsid w:val="00836F27"/>
    <w:rsid w:val="00837399"/>
    <w:rsid w:val="00840ACF"/>
    <w:rsid w:val="00841133"/>
    <w:rsid w:val="00841296"/>
    <w:rsid w:val="008426A4"/>
    <w:rsid w:val="00843ABF"/>
    <w:rsid w:val="00843F6C"/>
    <w:rsid w:val="008446A2"/>
    <w:rsid w:val="00844927"/>
    <w:rsid w:val="00844FED"/>
    <w:rsid w:val="00845736"/>
    <w:rsid w:val="00845E01"/>
    <w:rsid w:val="00845F94"/>
    <w:rsid w:val="00847987"/>
    <w:rsid w:val="00852232"/>
    <w:rsid w:val="00852485"/>
    <w:rsid w:val="0085265B"/>
    <w:rsid w:val="00852CEA"/>
    <w:rsid w:val="008537DF"/>
    <w:rsid w:val="008541A7"/>
    <w:rsid w:val="00854D0C"/>
    <w:rsid w:val="0085532A"/>
    <w:rsid w:val="00855924"/>
    <w:rsid w:val="00856177"/>
    <w:rsid w:val="008574BC"/>
    <w:rsid w:val="00857F74"/>
    <w:rsid w:val="008603F8"/>
    <w:rsid w:val="00860755"/>
    <w:rsid w:val="00860861"/>
    <w:rsid w:val="0086157E"/>
    <w:rsid w:val="008616B8"/>
    <w:rsid w:val="0086181A"/>
    <w:rsid w:val="008627A0"/>
    <w:rsid w:val="008635FF"/>
    <w:rsid w:val="008637C3"/>
    <w:rsid w:val="008643F0"/>
    <w:rsid w:val="00864719"/>
    <w:rsid w:val="008676EC"/>
    <w:rsid w:val="00867AC4"/>
    <w:rsid w:val="00867ED7"/>
    <w:rsid w:val="0087080B"/>
    <w:rsid w:val="00870A43"/>
    <w:rsid w:val="00871D41"/>
    <w:rsid w:val="00873254"/>
    <w:rsid w:val="00873411"/>
    <w:rsid w:val="00873DB1"/>
    <w:rsid w:val="00873F1C"/>
    <w:rsid w:val="008751BF"/>
    <w:rsid w:val="00875AB9"/>
    <w:rsid w:val="00876DFD"/>
    <w:rsid w:val="008770D9"/>
    <w:rsid w:val="00877C96"/>
    <w:rsid w:val="00880A59"/>
    <w:rsid w:val="00881115"/>
    <w:rsid w:val="00882235"/>
    <w:rsid w:val="00883BA7"/>
    <w:rsid w:val="00884AC1"/>
    <w:rsid w:val="008865A3"/>
    <w:rsid w:val="008901C2"/>
    <w:rsid w:val="00890440"/>
    <w:rsid w:val="0089076F"/>
    <w:rsid w:val="008934B8"/>
    <w:rsid w:val="0089558E"/>
    <w:rsid w:val="0089649D"/>
    <w:rsid w:val="008974A7"/>
    <w:rsid w:val="00897A54"/>
    <w:rsid w:val="008A0450"/>
    <w:rsid w:val="008A128C"/>
    <w:rsid w:val="008A140F"/>
    <w:rsid w:val="008A16F4"/>
    <w:rsid w:val="008A1A35"/>
    <w:rsid w:val="008A3A46"/>
    <w:rsid w:val="008A3F11"/>
    <w:rsid w:val="008A413A"/>
    <w:rsid w:val="008A6E24"/>
    <w:rsid w:val="008B0C8C"/>
    <w:rsid w:val="008B14DB"/>
    <w:rsid w:val="008B1FFF"/>
    <w:rsid w:val="008B45EF"/>
    <w:rsid w:val="008B56A6"/>
    <w:rsid w:val="008B6CA2"/>
    <w:rsid w:val="008C0E60"/>
    <w:rsid w:val="008C15F5"/>
    <w:rsid w:val="008C268D"/>
    <w:rsid w:val="008C338E"/>
    <w:rsid w:val="008C4437"/>
    <w:rsid w:val="008C7D0C"/>
    <w:rsid w:val="008D086E"/>
    <w:rsid w:val="008D16D0"/>
    <w:rsid w:val="008D22E6"/>
    <w:rsid w:val="008D36A7"/>
    <w:rsid w:val="008D4791"/>
    <w:rsid w:val="008D4B28"/>
    <w:rsid w:val="008D5E9F"/>
    <w:rsid w:val="008D5F9C"/>
    <w:rsid w:val="008D60F3"/>
    <w:rsid w:val="008D6302"/>
    <w:rsid w:val="008D64EB"/>
    <w:rsid w:val="008D6DD6"/>
    <w:rsid w:val="008D7DCC"/>
    <w:rsid w:val="008E0008"/>
    <w:rsid w:val="008E1D54"/>
    <w:rsid w:val="008E21B7"/>
    <w:rsid w:val="008E2913"/>
    <w:rsid w:val="008E2F84"/>
    <w:rsid w:val="008E57F7"/>
    <w:rsid w:val="008E6253"/>
    <w:rsid w:val="008E7E3F"/>
    <w:rsid w:val="008F01A4"/>
    <w:rsid w:val="008F0EEC"/>
    <w:rsid w:val="008F240A"/>
    <w:rsid w:val="008F38B4"/>
    <w:rsid w:val="008F4C35"/>
    <w:rsid w:val="008F58C5"/>
    <w:rsid w:val="008F599E"/>
    <w:rsid w:val="008F606E"/>
    <w:rsid w:val="008F7F39"/>
    <w:rsid w:val="00900842"/>
    <w:rsid w:val="0090196F"/>
    <w:rsid w:val="00901B04"/>
    <w:rsid w:val="00901CBE"/>
    <w:rsid w:val="0090264F"/>
    <w:rsid w:val="00902B39"/>
    <w:rsid w:val="00904244"/>
    <w:rsid w:val="009046E2"/>
    <w:rsid w:val="009047F2"/>
    <w:rsid w:val="00904B8E"/>
    <w:rsid w:val="0090623E"/>
    <w:rsid w:val="00906A02"/>
    <w:rsid w:val="009072C5"/>
    <w:rsid w:val="009079CD"/>
    <w:rsid w:val="00907B51"/>
    <w:rsid w:val="00907BFE"/>
    <w:rsid w:val="00910933"/>
    <w:rsid w:val="00910C94"/>
    <w:rsid w:val="0091300B"/>
    <w:rsid w:val="0091323D"/>
    <w:rsid w:val="00915639"/>
    <w:rsid w:val="00915CAB"/>
    <w:rsid w:val="00915E12"/>
    <w:rsid w:val="00915F9D"/>
    <w:rsid w:val="00916958"/>
    <w:rsid w:val="00917663"/>
    <w:rsid w:val="009178C2"/>
    <w:rsid w:val="00917ABC"/>
    <w:rsid w:val="00922EFC"/>
    <w:rsid w:val="00923C7A"/>
    <w:rsid w:val="00925BAA"/>
    <w:rsid w:val="00927FC5"/>
    <w:rsid w:val="00930639"/>
    <w:rsid w:val="009313C2"/>
    <w:rsid w:val="0093176F"/>
    <w:rsid w:val="00931CFE"/>
    <w:rsid w:val="009338D9"/>
    <w:rsid w:val="00933C3F"/>
    <w:rsid w:val="00934B18"/>
    <w:rsid w:val="00934BEB"/>
    <w:rsid w:val="00935624"/>
    <w:rsid w:val="00936142"/>
    <w:rsid w:val="00936A68"/>
    <w:rsid w:val="00937DDD"/>
    <w:rsid w:val="00943063"/>
    <w:rsid w:val="00943108"/>
    <w:rsid w:val="00946125"/>
    <w:rsid w:val="009467B6"/>
    <w:rsid w:val="00950FF5"/>
    <w:rsid w:val="0095170F"/>
    <w:rsid w:val="00952231"/>
    <w:rsid w:val="00952645"/>
    <w:rsid w:val="0095286C"/>
    <w:rsid w:val="00952EED"/>
    <w:rsid w:val="0095470C"/>
    <w:rsid w:val="00954AE9"/>
    <w:rsid w:val="0095554F"/>
    <w:rsid w:val="00956452"/>
    <w:rsid w:val="00960852"/>
    <w:rsid w:val="00961280"/>
    <w:rsid w:val="0096153B"/>
    <w:rsid w:val="009627C7"/>
    <w:rsid w:val="00962D84"/>
    <w:rsid w:val="009655E8"/>
    <w:rsid w:val="00965CCC"/>
    <w:rsid w:val="00966429"/>
    <w:rsid w:val="00966F7B"/>
    <w:rsid w:val="00966FDC"/>
    <w:rsid w:val="009678DA"/>
    <w:rsid w:val="00970DF8"/>
    <w:rsid w:val="00973CCE"/>
    <w:rsid w:val="00973F4D"/>
    <w:rsid w:val="009753F2"/>
    <w:rsid w:val="00976065"/>
    <w:rsid w:val="009771C9"/>
    <w:rsid w:val="00977E89"/>
    <w:rsid w:val="009802AE"/>
    <w:rsid w:val="00980CE7"/>
    <w:rsid w:val="00980F3D"/>
    <w:rsid w:val="00981681"/>
    <w:rsid w:val="00981AB0"/>
    <w:rsid w:val="00981CF6"/>
    <w:rsid w:val="00982142"/>
    <w:rsid w:val="0098324B"/>
    <w:rsid w:val="009837EB"/>
    <w:rsid w:val="00984043"/>
    <w:rsid w:val="0098463E"/>
    <w:rsid w:val="00984B04"/>
    <w:rsid w:val="00985502"/>
    <w:rsid w:val="00986477"/>
    <w:rsid w:val="00987C04"/>
    <w:rsid w:val="00990AD5"/>
    <w:rsid w:val="009915AE"/>
    <w:rsid w:val="00993983"/>
    <w:rsid w:val="00995376"/>
    <w:rsid w:val="00997360"/>
    <w:rsid w:val="009A063B"/>
    <w:rsid w:val="009A0C65"/>
    <w:rsid w:val="009A294F"/>
    <w:rsid w:val="009A31A5"/>
    <w:rsid w:val="009A32D3"/>
    <w:rsid w:val="009A4119"/>
    <w:rsid w:val="009A4366"/>
    <w:rsid w:val="009A44C9"/>
    <w:rsid w:val="009A4B44"/>
    <w:rsid w:val="009A6CD7"/>
    <w:rsid w:val="009A7137"/>
    <w:rsid w:val="009A771C"/>
    <w:rsid w:val="009B00BE"/>
    <w:rsid w:val="009B0818"/>
    <w:rsid w:val="009B2607"/>
    <w:rsid w:val="009B3C53"/>
    <w:rsid w:val="009B3CAE"/>
    <w:rsid w:val="009B4113"/>
    <w:rsid w:val="009B4CB8"/>
    <w:rsid w:val="009B4F31"/>
    <w:rsid w:val="009B5BFC"/>
    <w:rsid w:val="009B7C03"/>
    <w:rsid w:val="009C07ED"/>
    <w:rsid w:val="009C163C"/>
    <w:rsid w:val="009C24B9"/>
    <w:rsid w:val="009C2EEF"/>
    <w:rsid w:val="009C445B"/>
    <w:rsid w:val="009C5102"/>
    <w:rsid w:val="009C5155"/>
    <w:rsid w:val="009C6876"/>
    <w:rsid w:val="009C6BC3"/>
    <w:rsid w:val="009D00CD"/>
    <w:rsid w:val="009D0AD3"/>
    <w:rsid w:val="009D3883"/>
    <w:rsid w:val="009D4AE6"/>
    <w:rsid w:val="009D71EF"/>
    <w:rsid w:val="009E0821"/>
    <w:rsid w:val="009E0825"/>
    <w:rsid w:val="009E3046"/>
    <w:rsid w:val="009E5310"/>
    <w:rsid w:val="009E53DC"/>
    <w:rsid w:val="009E70D6"/>
    <w:rsid w:val="009E7299"/>
    <w:rsid w:val="009E746F"/>
    <w:rsid w:val="009E7EB8"/>
    <w:rsid w:val="009F0696"/>
    <w:rsid w:val="009F099B"/>
    <w:rsid w:val="009F18F5"/>
    <w:rsid w:val="009F1C9F"/>
    <w:rsid w:val="009F2B83"/>
    <w:rsid w:val="009F2CC9"/>
    <w:rsid w:val="009F3B6F"/>
    <w:rsid w:val="009F3CFA"/>
    <w:rsid w:val="009F5DB1"/>
    <w:rsid w:val="009F6A30"/>
    <w:rsid w:val="009F6E4A"/>
    <w:rsid w:val="00A02B3A"/>
    <w:rsid w:val="00A04118"/>
    <w:rsid w:val="00A05690"/>
    <w:rsid w:val="00A05DCC"/>
    <w:rsid w:val="00A0611E"/>
    <w:rsid w:val="00A0706A"/>
    <w:rsid w:val="00A103E5"/>
    <w:rsid w:val="00A104ED"/>
    <w:rsid w:val="00A105DE"/>
    <w:rsid w:val="00A10C39"/>
    <w:rsid w:val="00A12397"/>
    <w:rsid w:val="00A13502"/>
    <w:rsid w:val="00A13731"/>
    <w:rsid w:val="00A13CAD"/>
    <w:rsid w:val="00A13E26"/>
    <w:rsid w:val="00A15651"/>
    <w:rsid w:val="00A16033"/>
    <w:rsid w:val="00A17E13"/>
    <w:rsid w:val="00A213D2"/>
    <w:rsid w:val="00A22BC5"/>
    <w:rsid w:val="00A22E25"/>
    <w:rsid w:val="00A22FA6"/>
    <w:rsid w:val="00A23452"/>
    <w:rsid w:val="00A2506A"/>
    <w:rsid w:val="00A26C70"/>
    <w:rsid w:val="00A30133"/>
    <w:rsid w:val="00A302E4"/>
    <w:rsid w:val="00A30C2E"/>
    <w:rsid w:val="00A31FD7"/>
    <w:rsid w:val="00A32238"/>
    <w:rsid w:val="00A3301C"/>
    <w:rsid w:val="00A33074"/>
    <w:rsid w:val="00A350D1"/>
    <w:rsid w:val="00A356B2"/>
    <w:rsid w:val="00A35AC0"/>
    <w:rsid w:val="00A37DD0"/>
    <w:rsid w:val="00A40627"/>
    <w:rsid w:val="00A41856"/>
    <w:rsid w:val="00A41A13"/>
    <w:rsid w:val="00A43FC3"/>
    <w:rsid w:val="00A4565C"/>
    <w:rsid w:val="00A45BBC"/>
    <w:rsid w:val="00A46FC2"/>
    <w:rsid w:val="00A52525"/>
    <w:rsid w:val="00A5354E"/>
    <w:rsid w:val="00A53F95"/>
    <w:rsid w:val="00A547AC"/>
    <w:rsid w:val="00A5545B"/>
    <w:rsid w:val="00A55667"/>
    <w:rsid w:val="00A57579"/>
    <w:rsid w:val="00A610AC"/>
    <w:rsid w:val="00A616AB"/>
    <w:rsid w:val="00A624AE"/>
    <w:rsid w:val="00A63A75"/>
    <w:rsid w:val="00A640D0"/>
    <w:rsid w:val="00A64363"/>
    <w:rsid w:val="00A64D57"/>
    <w:rsid w:val="00A64F4C"/>
    <w:rsid w:val="00A658F4"/>
    <w:rsid w:val="00A65992"/>
    <w:rsid w:val="00A65C98"/>
    <w:rsid w:val="00A66649"/>
    <w:rsid w:val="00A667DE"/>
    <w:rsid w:val="00A6711B"/>
    <w:rsid w:val="00A71B81"/>
    <w:rsid w:val="00A72C7B"/>
    <w:rsid w:val="00A73786"/>
    <w:rsid w:val="00A74FA3"/>
    <w:rsid w:val="00A756AD"/>
    <w:rsid w:val="00A75972"/>
    <w:rsid w:val="00A77EEA"/>
    <w:rsid w:val="00A82596"/>
    <w:rsid w:val="00A8271F"/>
    <w:rsid w:val="00A839CE"/>
    <w:rsid w:val="00A84D2F"/>
    <w:rsid w:val="00A852AF"/>
    <w:rsid w:val="00A85A4E"/>
    <w:rsid w:val="00A85A66"/>
    <w:rsid w:val="00A85BF3"/>
    <w:rsid w:val="00A867BB"/>
    <w:rsid w:val="00A907B3"/>
    <w:rsid w:val="00A92043"/>
    <w:rsid w:val="00A924CB"/>
    <w:rsid w:val="00A92A8A"/>
    <w:rsid w:val="00A95B7C"/>
    <w:rsid w:val="00A9624E"/>
    <w:rsid w:val="00A967CB"/>
    <w:rsid w:val="00A96E11"/>
    <w:rsid w:val="00A96FE5"/>
    <w:rsid w:val="00AA140B"/>
    <w:rsid w:val="00AA18F1"/>
    <w:rsid w:val="00AA4D7E"/>
    <w:rsid w:val="00AA5DAE"/>
    <w:rsid w:val="00AA639D"/>
    <w:rsid w:val="00AA7E88"/>
    <w:rsid w:val="00AB057C"/>
    <w:rsid w:val="00AB1079"/>
    <w:rsid w:val="00AB1924"/>
    <w:rsid w:val="00AB1E55"/>
    <w:rsid w:val="00AB26EE"/>
    <w:rsid w:val="00AB26F2"/>
    <w:rsid w:val="00AB2AD0"/>
    <w:rsid w:val="00AB2F18"/>
    <w:rsid w:val="00AB4165"/>
    <w:rsid w:val="00AB470A"/>
    <w:rsid w:val="00AB5367"/>
    <w:rsid w:val="00AB74A3"/>
    <w:rsid w:val="00AC053F"/>
    <w:rsid w:val="00AC0603"/>
    <w:rsid w:val="00AC1BC9"/>
    <w:rsid w:val="00AC1DBC"/>
    <w:rsid w:val="00AC4054"/>
    <w:rsid w:val="00AC45A8"/>
    <w:rsid w:val="00AC48B0"/>
    <w:rsid w:val="00AD0208"/>
    <w:rsid w:val="00AD08E4"/>
    <w:rsid w:val="00AD09AB"/>
    <w:rsid w:val="00AD2FCA"/>
    <w:rsid w:val="00AD3080"/>
    <w:rsid w:val="00AD53F1"/>
    <w:rsid w:val="00AD6F37"/>
    <w:rsid w:val="00AE2FE4"/>
    <w:rsid w:val="00AE309D"/>
    <w:rsid w:val="00AE4460"/>
    <w:rsid w:val="00AE45D7"/>
    <w:rsid w:val="00AE4B7A"/>
    <w:rsid w:val="00AE6ACE"/>
    <w:rsid w:val="00AE6FA4"/>
    <w:rsid w:val="00AF267C"/>
    <w:rsid w:val="00AF5943"/>
    <w:rsid w:val="00AF5AD9"/>
    <w:rsid w:val="00AF6321"/>
    <w:rsid w:val="00AF6B50"/>
    <w:rsid w:val="00AF6C68"/>
    <w:rsid w:val="00B00ABA"/>
    <w:rsid w:val="00B01037"/>
    <w:rsid w:val="00B01A96"/>
    <w:rsid w:val="00B01F31"/>
    <w:rsid w:val="00B0262F"/>
    <w:rsid w:val="00B026C8"/>
    <w:rsid w:val="00B02E9E"/>
    <w:rsid w:val="00B03411"/>
    <w:rsid w:val="00B043F9"/>
    <w:rsid w:val="00B056ED"/>
    <w:rsid w:val="00B06197"/>
    <w:rsid w:val="00B06BE4"/>
    <w:rsid w:val="00B07B5C"/>
    <w:rsid w:val="00B100F9"/>
    <w:rsid w:val="00B105D3"/>
    <w:rsid w:val="00B12747"/>
    <w:rsid w:val="00B12F97"/>
    <w:rsid w:val="00B13060"/>
    <w:rsid w:val="00B1333D"/>
    <w:rsid w:val="00B1442F"/>
    <w:rsid w:val="00B14A5C"/>
    <w:rsid w:val="00B14D66"/>
    <w:rsid w:val="00B2137C"/>
    <w:rsid w:val="00B216D2"/>
    <w:rsid w:val="00B21E58"/>
    <w:rsid w:val="00B22390"/>
    <w:rsid w:val="00B227F6"/>
    <w:rsid w:val="00B22ABD"/>
    <w:rsid w:val="00B248C2"/>
    <w:rsid w:val="00B249D1"/>
    <w:rsid w:val="00B24E87"/>
    <w:rsid w:val="00B304C9"/>
    <w:rsid w:val="00B32BBF"/>
    <w:rsid w:val="00B33FF2"/>
    <w:rsid w:val="00B3565D"/>
    <w:rsid w:val="00B365CD"/>
    <w:rsid w:val="00B36919"/>
    <w:rsid w:val="00B3716D"/>
    <w:rsid w:val="00B37259"/>
    <w:rsid w:val="00B375C7"/>
    <w:rsid w:val="00B41654"/>
    <w:rsid w:val="00B421D5"/>
    <w:rsid w:val="00B455D3"/>
    <w:rsid w:val="00B461D0"/>
    <w:rsid w:val="00B46220"/>
    <w:rsid w:val="00B4657E"/>
    <w:rsid w:val="00B469D8"/>
    <w:rsid w:val="00B46E6C"/>
    <w:rsid w:val="00B47146"/>
    <w:rsid w:val="00B50102"/>
    <w:rsid w:val="00B51505"/>
    <w:rsid w:val="00B525EE"/>
    <w:rsid w:val="00B5296F"/>
    <w:rsid w:val="00B5338D"/>
    <w:rsid w:val="00B5357B"/>
    <w:rsid w:val="00B53F23"/>
    <w:rsid w:val="00B54059"/>
    <w:rsid w:val="00B54D8E"/>
    <w:rsid w:val="00B559E0"/>
    <w:rsid w:val="00B56451"/>
    <w:rsid w:val="00B56812"/>
    <w:rsid w:val="00B572E3"/>
    <w:rsid w:val="00B578DE"/>
    <w:rsid w:val="00B57E5D"/>
    <w:rsid w:val="00B601A6"/>
    <w:rsid w:val="00B603F0"/>
    <w:rsid w:val="00B60930"/>
    <w:rsid w:val="00B61132"/>
    <w:rsid w:val="00B6162D"/>
    <w:rsid w:val="00B61D43"/>
    <w:rsid w:val="00B644BC"/>
    <w:rsid w:val="00B648D2"/>
    <w:rsid w:val="00B650A8"/>
    <w:rsid w:val="00B664AB"/>
    <w:rsid w:val="00B71FAD"/>
    <w:rsid w:val="00B72B51"/>
    <w:rsid w:val="00B7326A"/>
    <w:rsid w:val="00B7475A"/>
    <w:rsid w:val="00B752DA"/>
    <w:rsid w:val="00B76194"/>
    <w:rsid w:val="00B77A38"/>
    <w:rsid w:val="00B815CA"/>
    <w:rsid w:val="00B82B3C"/>
    <w:rsid w:val="00B83F07"/>
    <w:rsid w:val="00B84A04"/>
    <w:rsid w:val="00B84AAB"/>
    <w:rsid w:val="00B85754"/>
    <w:rsid w:val="00B861A5"/>
    <w:rsid w:val="00B87017"/>
    <w:rsid w:val="00B911C1"/>
    <w:rsid w:val="00B93AB0"/>
    <w:rsid w:val="00B943E6"/>
    <w:rsid w:val="00B95221"/>
    <w:rsid w:val="00B9528E"/>
    <w:rsid w:val="00B95483"/>
    <w:rsid w:val="00B95D18"/>
    <w:rsid w:val="00B968C7"/>
    <w:rsid w:val="00B97C03"/>
    <w:rsid w:val="00B97E94"/>
    <w:rsid w:val="00BA02A8"/>
    <w:rsid w:val="00BA0C40"/>
    <w:rsid w:val="00BA171B"/>
    <w:rsid w:val="00BA28DB"/>
    <w:rsid w:val="00BA2BBB"/>
    <w:rsid w:val="00BA3AC7"/>
    <w:rsid w:val="00BA45E7"/>
    <w:rsid w:val="00BA68C9"/>
    <w:rsid w:val="00BB0783"/>
    <w:rsid w:val="00BB0F9D"/>
    <w:rsid w:val="00BB1E47"/>
    <w:rsid w:val="00BB2392"/>
    <w:rsid w:val="00BB4050"/>
    <w:rsid w:val="00BB47B5"/>
    <w:rsid w:val="00BB4FAA"/>
    <w:rsid w:val="00BB50E3"/>
    <w:rsid w:val="00BB58F1"/>
    <w:rsid w:val="00BB69E1"/>
    <w:rsid w:val="00BC05F0"/>
    <w:rsid w:val="00BC1490"/>
    <w:rsid w:val="00BC1986"/>
    <w:rsid w:val="00BC3444"/>
    <w:rsid w:val="00BC3924"/>
    <w:rsid w:val="00BC3E0B"/>
    <w:rsid w:val="00BC3E77"/>
    <w:rsid w:val="00BC54D1"/>
    <w:rsid w:val="00BC5503"/>
    <w:rsid w:val="00BC5E79"/>
    <w:rsid w:val="00BD01F7"/>
    <w:rsid w:val="00BD360F"/>
    <w:rsid w:val="00BD3B77"/>
    <w:rsid w:val="00BD4201"/>
    <w:rsid w:val="00BD5389"/>
    <w:rsid w:val="00BD54A3"/>
    <w:rsid w:val="00BD5CD2"/>
    <w:rsid w:val="00BD7044"/>
    <w:rsid w:val="00BD71C8"/>
    <w:rsid w:val="00BD7340"/>
    <w:rsid w:val="00BE0044"/>
    <w:rsid w:val="00BE0D0D"/>
    <w:rsid w:val="00BE158F"/>
    <w:rsid w:val="00BE2B27"/>
    <w:rsid w:val="00BE2F04"/>
    <w:rsid w:val="00BE3B23"/>
    <w:rsid w:val="00BE4571"/>
    <w:rsid w:val="00BE4589"/>
    <w:rsid w:val="00BE4AD4"/>
    <w:rsid w:val="00BF0E5C"/>
    <w:rsid w:val="00BF2157"/>
    <w:rsid w:val="00BF2868"/>
    <w:rsid w:val="00BF2B49"/>
    <w:rsid w:val="00BF5FA7"/>
    <w:rsid w:val="00BF7A0D"/>
    <w:rsid w:val="00C004B6"/>
    <w:rsid w:val="00C00EA7"/>
    <w:rsid w:val="00C02B4E"/>
    <w:rsid w:val="00C034EE"/>
    <w:rsid w:val="00C041C1"/>
    <w:rsid w:val="00C04210"/>
    <w:rsid w:val="00C05071"/>
    <w:rsid w:val="00C058D9"/>
    <w:rsid w:val="00C0787B"/>
    <w:rsid w:val="00C0788E"/>
    <w:rsid w:val="00C106F7"/>
    <w:rsid w:val="00C11E08"/>
    <w:rsid w:val="00C12498"/>
    <w:rsid w:val="00C12949"/>
    <w:rsid w:val="00C15984"/>
    <w:rsid w:val="00C15EF2"/>
    <w:rsid w:val="00C16DA5"/>
    <w:rsid w:val="00C1771D"/>
    <w:rsid w:val="00C17BDE"/>
    <w:rsid w:val="00C17C81"/>
    <w:rsid w:val="00C200EC"/>
    <w:rsid w:val="00C20C4F"/>
    <w:rsid w:val="00C20E87"/>
    <w:rsid w:val="00C22337"/>
    <w:rsid w:val="00C22702"/>
    <w:rsid w:val="00C2279B"/>
    <w:rsid w:val="00C25659"/>
    <w:rsid w:val="00C26E8A"/>
    <w:rsid w:val="00C304CF"/>
    <w:rsid w:val="00C3110F"/>
    <w:rsid w:val="00C33303"/>
    <w:rsid w:val="00C33566"/>
    <w:rsid w:val="00C35341"/>
    <w:rsid w:val="00C363B3"/>
    <w:rsid w:val="00C364F0"/>
    <w:rsid w:val="00C40113"/>
    <w:rsid w:val="00C41BB8"/>
    <w:rsid w:val="00C426B7"/>
    <w:rsid w:val="00C42941"/>
    <w:rsid w:val="00C4308B"/>
    <w:rsid w:val="00C447E6"/>
    <w:rsid w:val="00C45DA1"/>
    <w:rsid w:val="00C45ED3"/>
    <w:rsid w:val="00C4784B"/>
    <w:rsid w:val="00C47D3C"/>
    <w:rsid w:val="00C5163F"/>
    <w:rsid w:val="00C520E9"/>
    <w:rsid w:val="00C523CA"/>
    <w:rsid w:val="00C527DD"/>
    <w:rsid w:val="00C53228"/>
    <w:rsid w:val="00C539B2"/>
    <w:rsid w:val="00C53C0C"/>
    <w:rsid w:val="00C54785"/>
    <w:rsid w:val="00C55BDF"/>
    <w:rsid w:val="00C57106"/>
    <w:rsid w:val="00C571AF"/>
    <w:rsid w:val="00C57C02"/>
    <w:rsid w:val="00C60765"/>
    <w:rsid w:val="00C610C4"/>
    <w:rsid w:val="00C615F8"/>
    <w:rsid w:val="00C61A9D"/>
    <w:rsid w:val="00C620FD"/>
    <w:rsid w:val="00C63308"/>
    <w:rsid w:val="00C63AFD"/>
    <w:rsid w:val="00C6431A"/>
    <w:rsid w:val="00C6486C"/>
    <w:rsid w:val="00C65BB0"/>
    <w:rsid w:val="00C65CF8"/>
    <w:rsid w:val="00C67049"/>
    <w:rsid w:val="00C7037F"/>
    <w:rsid w:val="00C706DE"/>
    <w:rsid w:val="00C70897"/>
    <w:rsid w:val="00C70C99"/>
    <w:rsid w:val="00C70D6A"/>
    <w:rsid w:val="00C728D4"/>
    <w:rsid w:val="00C73476"/>
    <w:rsid w:val="00C7425A"/>
    <w:rsid w:val="00C80533"/>
    <w:rsid w:val="00C81501"/>
    <w:rsid w:val="00C8689D"/>
    <w:rsid w:val="00C87027"/>
    <w:rsid w:val="00C87AF9"/>
    <w:rsid w:val="00C90692"/>
    <w:rsid w:val="00C91734"/>
    <w:rsid w:val="00C93450"/>
    <w:rsid w:val="00C968EB"/>
    <w:rsid w:val="00C9712B"/>
    <w:rsid w:val="00CA013E"/>
    <w:rsid w:val="00CA0249"/>
    <w:rsid w:val="00CA085C"/>
    <w:rsid w:val="00CA0E84"/>
    <w:rsid w:val="00CA21E1"/>
    <w:rsid w:val="00CA252B"/>
    <w:rsid w:val="00CA25E2"/>
    <w:rsid w:val="00CA3C6F"/>
    <w:rsid w:val="00CA4006"/>
    <w:rsid w:val="00CA6E26"/>
    <w:rsid w:val="00CA7DDF"/>
    <w:rsid w:val="00CB0443"/>
    <w:rsid w:val="00CB0D15"/>
    <w:rsid w:val="00CB1955"/>
    <w:rsid w:val="00CB2146"/>
    <w:rsid w:val="00CB2A30"/>
    <w:rsid w:val="00CB39A9"/>
    <w:rsid w:val="00CB4F29"/>
    <w:rsid w:val="00CB506D"/>
    <w:rsid w:val="00CB7814"/>
    <w:rsid w:val="00CB7EF3"/>
    <w:rsid w:val="00CC25EA"/>
    <w:rsid w:val="00CC6313"/>
    <w:rsid w:val="00CC75AD"/>
    <w:rsid w:val="00CD016B"/>
    <w:rsid w:val="00CD14A3"/>
    <w:rsid w:val="00CD3665"/>
    <w:rsid w:val="00CD424F"/>
    <w:rsid w:val="00CD4724"/>
    <w:rsid w:val="00CD4E4B"/>
    <w:rsid w:val="00CD51CF"/>
    <w:rsid w:val="00CD5FB3"/>
    <w:rsid w:val="00CD6A8C"/>
    <w:rsid w:val="00CE103C"/>
    <w:rsid w:val="00CE23A9"/>
    <w:rsid w:val="00CE2441"/>
    <w:rsid w:val="00CE54A7"/>
    <w:rsid w:val="00CE5E72"/>
    <w:rsid w:val="00CE6DAC"/>
    <w:rsid w:val="00CE7C6D"/>
    <w:rsid w:val="00CF072C"/>
    <w:rsid w:val="00CF3B1D"/>
    <w:rsid w:val="00CF3C84"/>
    <w:rsid w:val="00CF4C5B"/>
    <w:rsid w:val="00CF53AE"/>
    <w:rsid w:val="00CF6362"/>
    <w:rsid w:val="00D02B41"/>
    <w:rsid w:val="00D0366F"/>
    <w:rsid w:val="00D03884"/>
    <w:rsid w:val="00D05C22"/>
    <w:rsid w:val="00D06657"/>
    <w:rsid w:val="00D10966"/>
    <w:rsid w:val="00D11686"/>
    <w:rsid w:val="00D12CF9"/>
    <w:rsid w:val="00D15114"/>
    <w:rsid w:val="00D15C45"/>
    <w:rsid w:val="00D16234"/>
    <w:rsid w:val="00D16320"/>
    <w:rsid w:val="00D16417"/>
    <w:rsid w:val="00D16713"/>
    <w:rsid w:val="00D16E7E"/>
    <w:rsid w:val="00D20491"/>
    <w:rsid w:val="00D2242B"/>
    <w:rsid w:val="00D224D9"/>
    <w:rsid w:val="00D23089"/>
    <w:rsid w:val="00D23334"/>
    <w:rsid w:val="00D23581"/>
    <w:rsid w:val="00D23A7E"/>
    <w:rsid w:val="00D240D2"/>
    <w:rsid w:val="00D25A12"/>
    <w:rsid w:val="00D25A73"/>
    <w:rsid w:val="00D25D32"/>
    <w:rsid w:val="00D269E5"/>
    <w:rsid w:val="00D279B2"/>
    <w:rsid w:val="00D31C91"/>
    <w:rsid w:val="00D31F5D"/>
    <w:rsid w:val="00D32A33"/>
    <w:rsid w:val="00D32BD7"/>
    <w:rsid w:val="00D34CA8"/>
    <w:rsid w:val="00D350BE"/>
    <w:rsid w:val="00D35536"/>
    <w:rsid w:val="00D36CFE"/>
    <w:rsid w:val="00D40077"/>
    <w:rsid w:val="00D434E3"/>
    <w:rsid w:val="00D439BB"/>
    <w:rsid w:val="00D43B3B"/>
    <w:rsid w:val="00D43C04"/>
    <w:rsid w:val="00D451C6"/>
    <w:rsid w:val="00D45B51"/>
    <w:rsid w:val="00D462D8"/>
    <w:rsid w:val="00D504E5"/>
    <w:rsid w:val="00D5111D"/>
    <w:rsid w:val="00D54130"/>
    <w:rsid w:val="00D5545F"/>
    <w:rsid w:val="00D56E84"/>
    <w:rsid w:val="00D5720B"/>
    <w:rsid w:val="00D57D24"/>
    <w:rsid w:val="00D601B7"/>
    <w:rsid w:val="00D60528"/>
    <w:rsid w:val="00D61CD7"/>
    <w:rsid w:val="00D61FCA"/>
    <w:rsid w:val="00D62302"/>
    <w:rsid w:val="00D640F2"/>
    <w:rsid w:val="00D64176"/>
    <w:rsid w:val="00D64412"/>
    <w:rsid w:val="00D66507"/>
    <w:rsid w:val="00D66F4C"/>
    <w:rsid w:val="00D71280"/>
    <w:rsid w:val="00D72F44"/>
    <w:rsid w:val="00D74441"/>
    <w:rsid w:val="00D74F4D"/>
    <w:rsid w:val="00D7511F"/>
    <w:rsid w:val="00D754D1"/>
    <w:rsid w:val="00D75DFF"/>
    <w:rsid w:val="00D75F8E"/>
    <w:rsid w:val="00D7620E"/>
    <w:rsid w:val="00D7713E"/>
    <w:rsid w:val="00D77FC2"/>
    <w:rsid w:val="00D828C1"/>
    <w:rsid w:val="00D83245"/>
    <w:rsid w:val="00D83DFA"/>
    <w:rsid w:val="00D8425E"/>
    <w:rsid w:val="00D84905"/>
    <w:rsid w:val="00D84CED"/>
    <w:rsid w:val="00D860BD"/>
    <w:rsid w:val="00D86967"/>
    <w:rsid w:val="00D90343"/>
    <w:rsid w:val="00D91108"/>
    <w:rsid w:val="00D915CF"/>
    <w:rsid w:val="00D91F3B"/>
    <w:rsid w:val="00D93719"/>
    <w:rsid w:val="00D9423A"/>
    <w:rsid w:val="00D94AAE"/>
    <w:rsid w:val="00D96118"/>
    <w:rsid w:val="00D96AA5"/>
    <w:rsid w:val="00D97F23"/>
    <w:rsid w:val="00D97F92"/>
    <w:rsid w:val="00DA0D25"/>
    <w:rsid w:val="00DA127D"/>
    <w:rsid w:val="00DA1C8A"/>
    <w:rsid w:val="00DA1E6B"/>
    <w:rsid w:val="00DA21A4"/>
    <w:rsid w:val="00DA279C"/>
    <w:rsid w:val="00DA2DCC"/>
    <w:rsid w:val="00DA352B"/>
    <w:rsid w:val="00DA51A3"/>
    <w:rsid w:val="00DA5AA9"/>
    <w:rsid w:val="00DA5C85"/>
    <w:rsid w:val="00DB05AC"/>
    <w:rsid w:val="00DB06A3"/>
    <w:rsid w:val="00DB0A59"/>
    <w:rsid w:val="00DB0E08"/>
    <w:rsid w:val="00DB0F50"/>
    <w:rsid w:val="00DB1231"/>
    <w:rsid w:val="00DB34F3"/>
    <w:rsid w:val="00DB466E"/>
    <w:rsid w:val="00DB4B9A"/>
    <w:rsid w:val="00DB6243"/>
    <w:rsid w:val="00DB6F0C"/>
    <w:rsid w:val="00DB70DC"/>
    <w:rsid w:val="00DB79B7"/>
    <w:rsid w:val="00DC0700"/>
    <w:rsid w:val="00DC2033"/>
    <w:rsid w:val="00DC2484"/>
    <w:rsid w:val="00DC278D"/>
    <w:rsid w:val="00DC2C60"/>
    <w:rsid w:val="00DC3EE6"/>
    <w:rsid w:val="00DC6C0C"/>
    <w:rsid w:val="00DC75CE"/>
    <w:rsid w:val="00DC7A09"/>
    <w:rsid w:val="00DD2798"/>
    <w:rsid w:val="00DD350D"/>
    <w:rsid w:val="00DD3893"/>
    <w:rsid w:val="00DD38BD"/>
    <w:rsid w:val="00DD3EE6"/>
    <w:rsid w:val="00DD4E40"/>
    <w:rsid w:val="00DD5482"/>
    <w:rsid w:val="00DD73A2"/>
    <w:rsid w:val="00DD7A76"/>
    <w:rsid w:val="00DD7E6A"/>
    <w:rsid w:val="00DE008D"/>
    <w:rsid w:val="00DE1023"/>
    <w:rsid w:val="00DE12EF"/>
    <w:rsid w:val="00DE1526"/>
    <w:rsid w:val="00DE19BE"/>
    <w:rsid w:val="00DE2569"/>
    <w:rsid w:val="00DE413E"/>
    <w:rsid w:val="00DE4DB0"/>
    <w:rsid w:val="00DE5C62"/>
    <w:rsid w:val="00DE72BB"/>
    <w:rsid w:val="00DF0868"/>
    <w:rsid w:val="00DF0A93"/>
    <w:rsid w:val="00DF0EA3"/>
    <w:rsid w:val="00DF1773"/>
    <w:rsid w:val="00DF1F47"/>
    <w:rsid w:val="00DF25FC"/>
    <w:rsid w:val="00DF46FF"/>
    <w:rsid w:val="00DF522F"/>
    <w:rsid w:val="00DF551D"/>
    <w:rsid w:val="00DF6BE2"/>
    <w:rsid w:val="00DF77AC"/>
    <w:rsid w:val="00DF7E0D"/>
    <w:rsid w:val="00E015A5"/>
    <w:rsid w:val="00E023B3"/>
    <w:rsid w:val="00E02A6D"/>
    <w:rsid w:val="00E0446D"/>
    <w:rsid w:val="00E04DE3"/>
    <w:rsid w:val="00E057B2"/>
    <w:rsid w:val="00E05FF3"/>
    <w:rsid w:val="00E07CF0"/>
    <w:rsid w:val="00E10D5E"/>
    <w:rsid w:val="00E11288"/>
    <w:rsid w:val="00E13481"/>
    <w:rsid w:val="00E1512F"/>
    <w:rsid w:val="00E15446"/>
    <w:rsid w:val="00E16019"/>
    <w:rsid w:val="00E16B75"/>
    <w:rsid w:val="00E16B93"/>
    <w:rsid w:val="00E16FF3"/>
    <w:rsid w:val="00E21271"/>
    <w:rsid w:val="00E218BC"/>
    <w:rsid w:val="00E2288A"/>
    <w:rsid w:val="00E23003"/>
    <w:rsid w:val="00E246F3"/>
    <w:rsid w:val="00E274ED"/>
    <w:rsid w:val="00E31145"/>
    <w:rsid w:val="00E329DC"/>
    <w:rsid w:val="00E33196"/>
    <w:rsid w:val="00E33B40"/>
    <w:rsid w:val="00E34056"/>
    <w:rsid w:val="00E3456C"/>
    <w:rsid w:val="00E36DA6"/>
    <w:rsid w:val="00E37565"/>
    <w:rsid w:val="00E37CA7"/>
    <w:rsid w:val="00E37FED"/>
    <w:rsid w:val="00E40648"/>
    <w:rsid w:val="00E40C3D"/>
    <w:rsid w:val="00E4115A"/>
    <w:rsid w:val="00E42DE6"/>
    <w:rsid w:val="00E42F52"/>
    <w:rsid w:val="00E4384E"/>
    <w:rsid w:val="00E447C5"/>
    <w:rsid w:val="00E44DA4"/>
    <w:rsid w:val="00E5055D"/>
    <w:rsid w:val="00E51096"/>
    <w:rsid w:val="00E54E30"/>
    <w:rsid w:val="00E55117"/>
    <w:rsid w:val="00E56232"/>
    <w:rsid w:val="00E56444"/>
    <w:rsid w:val="00E61C9D"/>
    <w:rsid w:val="00E6222A"/>
    <w:rsid w:val="00E62FFA"/>
    <w:rsid w:val="00E636CC"/>
    <w:rsid w:val="00E6370C"/>
    <w:rsid w:val="00E643DC"/>
    <w:rsid w:val="00E64622"/>
    <w:rsid w:val="00E65BF7"/>
    <w:rsid w:val="00E66A9B"/>
    <w:rsid w:val="00E66F9F"/>
    <w:rsid w:val="00E72578"/>
    <w:rsid w:val="00E7278D"/>
    <w:rsid w:val="00E737E4"/>
    <w:rsid w:val="00E73970"/>
    <w:rsid w:val="00E76D98"/>
    <w:rsid w:val="00E775D4"/>
    <w:rsid w:val="00E77D97"/>
    <w:rsid w:val="00E810A8"/>
    <w:rsid w:val="00E83860"/>
    <w:rsid w:val="00E84DAF"/>
    <w:rsid w:val="00E85BB7"/>
    <w:rsid w:val="00E86ECA"/>
    <w:rsid w:val="00E86FBE"/>
    <w:rsid w:val="00E87F92"/>
    <w:rsid w:val="00E90DA6"/>
    <w:rsid w:val="00E90F48"/>
    <w:rsid w:val="00E90F77"/>
    <w:rsid w:val="00E92CBA"/>
    <w:rsid w:val="00E943CE"/>
    <w:rsid w:val="00E95790"/>
    <w:rsid w:val="00E95D80"/>
    <w:rsid w:val="00E96F7E"/>
    <w:rsid w:val="00E97E25"/>
    <w:rsid w:val="00EA0AE0"/>
    <w:rsid w:val="00EA1B9F"/>
    <w:rsid w:val="00EA234F"/>
    <w:rsid w:val="00EA61F9"/>
    <w:rsid w:val="00EA6A59"/>
    <w:rsid w:val="00EB01E8"/>
    <w:rsid w:val="00EB0275"/>
    <w:rsid w:val="00EB225C"/>
    <w:rsid w:val="00EB2F3B"/>
    <w:rsid w:val="00EB2FD6"/>
    <w:rsid w:val="00EB34FD"/>
    <w:rsid w:val="00EB410E"/>
    <w:rsid w:val="00EB518F"/>
    <w:rsid w:val="00EB543A"/>
    <w:rsid w:val="00EB5C75"/>
    <w:rsid w:val="00EB6534"/>
    <w:rsid w:val="00EB6DD1"/>
    <w:rsid w:val="00EB7794"/>
    <w:rsid w:val="00EB78C0"/>
    <w:rsid w:val="00EC099B"/>
    <w:rsid w:val="00EC15E9"/>
    <w:rsid w:val="00EC18A3"/>
    <w:rsid w:val="00EC31B6"/>
    <w:rsid w:val="00EC5046"/>
    <w:rsid w:val="00EC5C42"/>
    <w:rsid w:val="00EC76CE"/>
    <w:rsid w:val="00ED0EB7"/>
    <w:rsid w:val="00ED1955"/>
    <w:rsid w:val="00ED2019"/>
    <w:rsid w:val="00ED23C9"/>
    <w:rsid w:val="00ED2E2A"/>
    <w:rsid w:val="00ED36F9"/>
    <w:rsid w:val="00ED3E95"/>
    <w:rsid w:val="00ED41FF"/>
    <w:rsid w:val="00ED4E60"/>
    <w:rsid w:val="00ED4F87"/>
    <w:rsid w:val="00ED53AE"/>
    <w:rsid w:val="00ED5ECB"/>
    <w:rsid w:val="00ED6868"/>
    <w:rsid w:val="00ED692D"/>
    <w:rsid w:val="00ED7D99"/>
    <w:rsid w:val="00EE0569"/>
    <w:rsid w:val="00EE13EB"/>
    <w:rsid w:val="00EE14E5"/>
    <w:rsid w:val="00EE16B6"/>
    <w:rsid w:val="00EE2250"/>
    <w:rsid w:val="00EE4C85"/>
    <w:rsid w:val="00EE5F43"/>
    <w:rsid w:val="00EE6D9C"/>
    <w:rsid w:val="00EE7DCE"/>
    <w:rsid w:val="00EF0A8D"/>
    <w:rsid w:val="00EF16A8"/>
    <w:rsid w:val="00EF1B2F"/>
    <w:rsid w:val="00EF4C4E"/>
    <w:rsid w:val="00F00A03"/>
    <w:rsid w:val="00F00C77"/>
    <w:rsid w:val="00F031B9"/>
    <w:rsid w:val="00F040F6"/>
    <w:rsid w:val="00F044C2"/>
    <w:rsid w:val="00F04DDB"/>
    <w:rsid w:val="00F05616"/>
    <w:rsid w:val="00F06F04"/>
    <w:rsid w:val="00F10551"/>
    <w:rsid w:val="00F112B8"/>
    <w:rsid w:val="00F12070"/>
    <w:rsid w:val="00F136BC"/>
    <w:rsid w:val="00F15349"/>
    <w:rsid w:val="00F15446"/>
    <w:rsid w:val="00F158A4"/>
    <w:rsid w:val="00F15F7A"/>
    <w:rsid w:val="00F16945"/>
    <w:rsid w:val="00F16D8B"/>
    <w:rsid w:val="00F22E70"/>
    <w:rsid w:val="00F2509B"/>
    <w:rsid w:val="00F2541C"/>
    <w:rsid w:val="00F2688E"/>
    <w:rsid w:val="00F27D45"/>
    <w:rsid w:val="00F32412"/>
    <w:rsid w:val="00F328EF"/>
    <w:rsid w:val="00F331E1"/>
    <w:rsid w:val="00F3375A"/>
    <w:rsid w:val="00F33E5B"/>
    <w:rsid w:val="00F34D79"/>
    <w:rsid w:val="00F3574B"/>
    <w:rsid w:val="00F357EB"/>
    <w:rsid w:val="00F37154"/>
    <w:rsid w:val="00F42852"/>
    <w:rsid w:val="00F4420D"/>
    <w:rsid w:val="00F45823"/>
    <w:rsid w:val="00F45AE4"/>
    <w:rsid w:val="00F503CC"/>
    <w:rsid w:val="00F50D63"/>
    <w:rsid w:val="00F51170"/>
    <w:rsid w:val="00F525BA"/>
    <w:rsid w:val="00F548C2"/>
    <w:rsid w:val="00F556BD"/>
    <w:rsid w:val="00F557BD"/>
    <w:rsid w:val="00F55D6F"/>
    <w:rsid w:val="00F57FDA"/>
    <w:rsid w:val="00F609AC"/>
    <w:rsid w:val="00F618F7"/>
    <w:rsid w:val="00F6263E"/>
    <w:rsid w:val="00F62B2E"/>
    <w:rsid w:val="00F639A8"/>
    <w:rsid w:val="00F645F1"/>
    <w:rsid w:val="00F64B81"/>
    <w:rsid w:val="00F65C2D"/>
    <w:rsid w:val="00F6626E"/>
    <w:rsid w:val="00F6683B"/>
    <w:rsid w:val="00F70CF8"/>
    <w:rsid w:val="00F71946"/>
    <w:rsid w:val="00F71FEE"/>
    <w:rsid w:val="00F72506"/>
    <w:rsid w:val="00F72DD5"/>
    <w:rsid w:val="00F737A3"/>
    <w:rsid w:val="00F73A55"/>
    <w:rsid w:val="00F73CB6"/>
    <w:rsid w:val="00F753B3"/>
    <w:rsid w:val="00F757F3"/>
    <w:rsid w:val="00F801FA"/>
    <w:rsid w:val="00F80AAF"/>
    <w:rsid w:val="00F814A1"/>
    <w:rsid w:val="00F81950"/>
    <w:rsid w:val="00F82661"/>
    <w:rsid w:val="00F829AE"/>
    <w:rsid w:val="00F83473"/>
    <w:rsid w:val="00F84281"/>
    <w:rsid w:val="00F864D3"/>
    <w:rsid w:val="00F86AD0"/>
    <w:rsid w:val="00F871D4"/>
    <w:rsid w:val="00F871FE"/>
    <w:rsid w:val="00F929EB"/>
    <w:rsid w:val="00F93121"/>
    <w:rsid w:val="00F9591B"/>
    <w:rsid w:val="00F95FF5"/>
    <w:rsid w:val="00F96B15"/>
    <w:rsid w:val="00FA2F65"/>
    <w:rsid w:val="00FA361D"/>
    <w:rsid w:val="00FA4185"/>
    <w:rsid w:val="00FA54A3"/>
    <w:rsid w:val="00FA5F7D"/>
    <w:rsid w:val="00FA69E0"/>
    <w:rsid w:val="00FA6CA3"/>
    <w:rsid w:val="00FB17A5"/>
    <w:rsid w:val="00FB19FE"/>
    <w:rsid w:val="00FB20C3"/>
    <w:rsid w:val="00FB2398"/>
    <w:rsid w:val="00FB24EC"/>
    <w:rsid w:val="00FB3DED"/>
    <w:rsid w:val="00FB4BA9"/>
    <w:rsid w:val="00FB771B"/>
    <w:rsid w:val="00FC1052"/>
    <w:rsid w:val="00FC1CF5"/>
    <w:rsid w:val="00FC21FF"/>
    <w:rsid w:val="00FC311C"/>
    <w:rsid w:val="00FC3727"/>
    <w:rsid w:val="00FC412E"/>
    <w:rsid w:val="00FC479A"/>
    <w:rsid w:val="00FC57AD"/>
    <w:rsid w:val="00FC70BC"/>
    <w:rsid w:val="00FC7867"/>
    <w:rsid w:val="00FD138F"/>
    <w:rsid w:val="00FD27E5"/>
    <w:rsid w:val="00FD3D83"/>
    <w:rsid w:val="00FD3F52"/>
    <w:rsid w:val="00FD48D4"/>
    <w:rsid w:val="00FD551F"/>
    <w:rsid w:val="00FD5A12"/>
    <w:rsid w:val="00FD603E"/>
    <w:rsid w:val="00FD7256"/>
    <w:rsid w:val="00FE10FE"/>
    <w:rsid w:val="00FE195C"/>
    <w:rsid w:val="00FE1A73"/>
    <w:rsid w:val="00FE1AF9"/>
    <w:rsid w:val="00FE1B90"/>
    <w:rsid w:val="00FE301B"/>
    <w:rsid w:val="00FE3356"/>
    <w:rsid w:val="00FE4632"/>
    <w:rsid w:val="00FE4D83"/>
    <w:rsid w:val="00FE543D"/>
    <w:rsid w:val="00FE7E23"/>
    <w:rsid w:val="00FF03A3"/>
    <w:rsid w:val="00FF13FA"/>
    <w:rsid w:val="00FF1601"/>
    <w:rsid w:val="00FF2E41"/>
    <w:rsid w:val="00FF34E7"/>
    <w:rsid w:val="00FF4CD1"/>
    <w:rsid w:val="00FF5775"/>
    <w:rsid w:val="00FF6577"/>
    <w:rsid w:val="00FF6ED5"/>
    <w:rsid w:val="02337100"/>
    <w:rsid w:val="02629991"/>
    <w:rsid w:val="0CCEADB1"/>
    <w:rsid w:val="0DABD7FD"/>
    <w:rsid w:val="0E4A971F"/>
    <w:rsid w:val="0E687A41"/>
    <w:rsid w:val="144C9EF7"/>
    <w:rsid w:val="154B1C8F"/>
    <w:rsid w:val="15CD4FB8"/>
    <w:rsid w:val="184714AE"/>
    <w:rsid w:val="185B43E2"/>
    <w:rsid w:val="187AF804"/>
    <w:rsid w:val="188225D9"/>
    <w:rsid w:val="1B18D0D7"/>
    <w:rsid w:val="1D091829"/>
    <w:rsid w:val="1E49BE96"/>
    <w:rsid w:val="213BD0F1"/>
    <w:rsid w:val="23D31EFA"/>
    <w:rsid w:val="242D413C"/>
    <w:rsid w:val="262E2BED"/>
    <w:rsid w:val="28EBB8E2"/>
    <w:rsid w:val="29099C04"/>
    <w:rsid w:val="2E3FBEFF"/>
    <w:rsid w:val="34ACA2A3"/>
    <w:rsid w:val="34CBFCB6"/>
    <w:rsid w:val="38BB478E"/>
    <w:rsid w:val="39B56E0D"/>
    <w:rsid w:val="3C7B0FC6"/>
    <w:rsid w:val="3F6D2221"/>
    <w:rsid w:val="4119A174"/>
    <w:rsid w:val="4137B66C"/>
    <w:rsid w:val="471BDB22"/>
    <w:rsid w:val="4A085ED2"/>
    <w:rsid w:val="4AB6608D"/>
    <w:rsid w:val="4B209A49"/>
    <w:rsid w:val="4C188C1C"/>
    <w:rsid w:val="4CAC695B"/>
    <w:rsid w:val="4D30C793"/>
    <w:rsid w:val="4EC50578"/>
    <w:rsid w:val="4F7A3508"/>
    <w:rsid w:val="50F71B90"/>
    <w:rsid w:val="54A92A2E"/>
    <w:rsid w:val="54D00C25"/>
    <w:rsid w:val="550CA64F"/>
    <w:rsid w:val="5A97A4E2"/>
    <w:rsid w:val="5D078414"/>
    <w:rsid w:val="5D88BB1E"/>
    <w:rsid w:val="5E2F34F5"/>
    <w:rsid w:val="6197BA18"/>
    <w:rsid w:val="65595350"/>
    <w:rsid w:val="6823F7CF"/>
    <w:rsid w:val="6B170649"/>
    <w:rsid w:val="6FAF9912"/>
    <w:rsid w:val="6FDA38B4"/>
    <w:rsid w:val="6FF84DAC"/>
    <w:rsid w:val="72171B7F"/>
    <w:rsid w:val="727B39B0"/>
    <w:rsid w:val="73927908"/>
    <w:rsid w:val="77E71101"/>
    <w:rsid w:val="789D163B"/>
    <w:rsid w:val="78C8F612"/>
    <w:rsid w:val="7F2AEE3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8FFFF34D-9D4C-484A-ADA1-D5794BE4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444"/>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uiPriority w:val="9"/>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uiPriority w:val="9"/>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425CA0"/>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unhideWhenUsed/>
    <w:rsid w:val="00016262"/>
  </w:style>
  <w:style w:type="character" w:customStyle="1" w:styleId="CommentTextChar">
    <w:name w:val="Comment Text Char"/>
    <w:basedOn w:val="DefaultParagraphFont"/>
    <w:link w:val="CommentText"/>
    <w:uiPriority w:val="99"/>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16262"/>
    <w:rPr>
      <w:b/>
      <w:bCs/>
    </w:rPr>
  </w:style>
  <w:style w:type="character" w:customStyle="1" w:styleId="CommentSubjectChar">
    <w:name w:val="Comment Subject Char"/>
    <w:basedOn w:val="CommentTextChar"/>
    <w:link w:val="CommentSubject"/>
    <w:uiPriority w:val="99"/>
    <w:semiHidden/>
    <w:rsid w:val="00016262"/>
    <w:rPr>
      <w:rFonts w:ascii="Times New Roman" w:eastAsia="SimSun" w:hAnsi="Times New Roman"/>
      <w:b/>
      <w:bCs/>
    </w:rPr>
  </w:style>
  <w:style w:type="table" w:styleId="TableGrid">
    <w:name w:val="Table Grid"/>
    <w:basedOn w:val="TableNormal"/>
    <w:uiPriority w:val="5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770F51"/>
    <w:pPr>
      <w:keepLines/>
      <w:overflowPunct/>
      <w:autoSpaceDE/>
      <w:autoSpaceDN/>
      <w:adjustRightInd/>
      <w:ind w:left="1135" w:hanging="851"/>
    </w:pPr>
    <w:rPr>
      <w:lang w:val="en-GB"/>
    </w:rPr>
  </w:style>
  <w:style w:type="character" w:customStyle="1" w:styleId="NOChar">
    <w:name w:val="NO Char"/>
    <w:link w:val="NO"/>
    <w:locked/>
    <w:rsid w:val="00770F51"/>
    <w:rPr>
      <w:rFonts w:ascii="Times New Roman" w:eastAsia="SimSun" w:hAnsi="Times New Roman"/>
      <w:lang w:val="en-GB"/>
    </w:rPr>
  </w:style>
  <w:style w:type="paragraph" w:customStyle="1" w:styleId="B1">
    <w:name w:val="B1"/>
    <w:basedOn w:val="Normal"/>
    <w:link w:val="B1Char"/>
    <w:qFormat/>
    <w:rsid w:val="00770F51"/>
    <w:pPr>
      <w:overflowPunct/>
      <w:autoSpaceDE/>
      <w:autoSpaceDN/>
      <w:adjustRightInd/>
      <w:ind w:left="568" w:hanging="284"/>
    </w:pPr>
    <w:rPr>
      <w:lang w:val="en-GB"/>
    </w:rPr>
  </w:style>
  <w:style w:type="character" w:customStyle="1" w:styleId="B1Char">
    <w:name w:val="B1 Char"/>
    <w:link w:val="B1"/>
    <w:qFormat/>
    <w:rsid w:val="00770F51"/>
    <w:rPr>
      <w:rFonts w:ascii="Times New Roman" w:eastAsia="SimSun" w:hAnsi="Times New Roman"/>
      <w:lang w:val="en-GB"/>
    </w:rPr>
  </w:style>
  <w:style w:type="paragraph" w:customStyle="1" w:styleId="NormalNumbered">
    <w:name w:val="Normal Numbered"/>
    <w:basedOn w:val="ListParagraph"/>
    <w:link w:val="NormalNumberedChar"/>
    <w:qFormat/>
    <w:rsid w:val="00844927"/>
    <w:pPr>
      <w:numPr>
        <w:numId w:val="5"/>
      </w:numPr>
    </w:pPr>
    <w:rPr>
      <w:rFonts w:ascii="Times New Roman" w:hAnsi="Times New Roman" w:cs="Times New Roman"/>
      <w:sz w:val="20"/>
      <w:szCs w:val="20"/>
    </w:rPr>
  </w:style>
  <w:style w:type="paragraph" w:styleId="NoSpacing">
    <w:name w:val="No Spacing"/>
    <w:uiPriority w:val="1"/>
    <w:qFormat/>
    <w:rsid w:val="006A4E0D"/>
    <w:pPr>
      <w:overflowPunct w:val="0"/>
      <w:autoSpaceDE w:val="0"/>
      <w:autoSpaceDN w:val="0"/>
      <w:adjustRightInd w:val="0"/>
    </w:pPr>
    <w:rPr>
      <w:rFonts w:ascii="Times New Roman" w:eastAsia="SimSun" w:hAnsi="Times New Roman"/>
    </w:rPr>
  </w:style>
  <w:style w:type="character" w:customStyle="1" w:styleId="NormalNumberedChar">
    <w:name w:val="Normal Numbered Char"/>
    <w:basedOn w:val="ListParagraphChar"/>
    <w:link w:val="NormalNumbered"/>
    <w:rsid w:val="00844927"/>
    <w:rPr>
      <w:rFonts w:ascii="Times New Roman" w:eastAsiaTheme="minorHAnsi" w:hAnsi="Times New Roman" w:cstheme="minorBidi"/>
      <w:sz w:val="22"/>
      <w:szCs w:val="22"/>
    </w:rPr>
  </w:style>
  <w:style w:type="paragraph" w:customStyle="1" w:styleId="Doc-text2">
    <w:name w:val="Doc-text2"/>
    <w:basedOn w:val="Normal"/>
    <w:link w:val="Doc-text2Char"/>
    <w:qFormat/>
    <w:rsid w:val="00FB24E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FB24EC"/>
    <w:rPr>
      <w:rFonts w:ascii="Arial" w:eastAsia="Times New Roman" w:hAnsi="Arial"/>
      <w:lang w:val="en-GB" w:eastAsia="ja-JP"/>
    </w:rPr>
  </w:style>
  <w:style w:type="paragraph" w:styleId="NormalWeb">
    <w:name w:val="Normal (Web)"/>
    <w:basedOn w:val="Normal"/>
    <w:uiPriority w:val="99"/>
    <w:semiHidden/>
    <w:unhideWhenUsed/>
    <w:rsid w:val="00C70D6A"/>
    <w:pPr>
      <w:overflowPunct/>
      <w:autoSpaceDE/>
      <w:autoSpaceDN/>
      <w:adjustRightInd/>
      <w:spacing w:before="100" w:beforeAutospacing="1" w:after="100" w:afterAutospacing="1"/>
    </w:pPr>
    <w:rPr>
      <w:rFonts w:eastAsia="Times New Roman"/>
      <w:sz w:val="24"/>
      <w:szCs w:val="24"/>
    </w:rPr>
  </w:style>
  <w:style w:type="table" w:styleId="GridTable5Dark">
    <w:name w:val="Grid Table 5 Dark"/>
    <w:basedOn w:val="TableNormal"/>
    <w:uiPriority w:val="50"/>
    <w:rsid w:val="00F16D8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N1">
    <w:name w:val="N1"/>
    <w:basedOn w:val="Normal"/>
    <w:link w:val="N1Char"/>
    <w:qFormat/>
    <w:rsid w:val="007A2C2B"/>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7A2C2B"/>
    <w:rPr>
      <w:rFonts w:asciiTheme="minorHAnsi" w:eastAsiaTheme="minorEastAsia" w:hAnsiTheme="minorHAnsi" w:cstheme="minorHAnsi"/>
      <w:sz w:val="22"/>
      <w:szCs w:val="22"/>
      <w:lang w:eastAsia="ko-KR" w:bidi="hi-IN"/>
    </w:rPr>
  </w:style>
  <w:style w:type="table" w:styleId="GridTable1Light">
    <w:name w:val="Grid Table 1 Light"/>
    <w:basedOn w:val="TableNormal"/>
    <w:uiPriority w:val="46"/>
    <w:rsid w:val="00156FD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er">
    <w:name w:val="footer"/>
    <w:basedOn w:val="Normal"/>
    <w:link w:val="FooterChar"/>
    <w:uiPriority w:val="99"/>
    <w:unhideWhenUsed/>
    <w:rsid w:val="00D860BD"/>
    <w:pPr>
      <w:tabs>
        <w:tab w:val="center" w:pos="4680"/>
        <w:tab w:val="right" w:pos="9360"/>
      </w:tabs>
      <w:spacing w:after="0"/>
    </w:pPr>
  </w:style>
  <w:style w:type="character" w:customStyle="1" w:styleId="FooterChar">
    <w:name w:val="Footer Char"/>
    <w:basedOn w:val="DefaultParagraphFont"/>
    <w:link w:val="Footer"/>
    <w:uiPriority w:val="99"/>
    <w:rsid w:val="00D860BD"/>
    <w:rPr>
      <w:rFonts w:ascii="Times New Roman" w:eastAsia="SimSun" w:hAnsi="Times New Roman"/>
    </w:rPr>
  </w:style>
  <w:style w:type="paragraph" w:customStyle="1" w:styleId="B2">
    <w:name w:val="B2"/>
    <w:basedOn w:val="List2"/>
    <w:link w:val="B2Car"/>
    <w:rsid w:val="00B911C1"/>
    <w:pPr>
      <w:ind w:left="851" w:hanging="284"/>
      <w:contextualSpacing w:val="0"/>
      <w:textAlignment w:val="baseline"/>
    </w:pPr>
    <w:rPr>
      <w:rFonts w:eastAsia="Times New Roman"/>
      <w:lang w:val="x-none" w:eastAsia="x-none"/>
    </w:rPr>
  </w:style>
  <w:style w:type="character" w:customStyle="1" w:styleId="B2Car">
    <w:name w:val="B2 Car"/>
    <w:link w:val="B2"/>
    <w:rsid w:val="00B911C1"/>
    <w:rPr>
      <w:rFonts w:ascii="Times New Roman" w:eastAsia="Times New Roman" w:hAnsi="Times New Roman"/>
      <w:lang w:val="x-none" w:eastAsia="x-none"/>
    </w:rPr>
  </w:style>
  <w:style w:type="paragraph" w:styleId="List2">
    <w:name w:val="List 2"/>
    <w:basedOn w:val="Normal"/>
    <w:uiPriority w:val="99"/>
    <w:semiHidden/>
    <w:unhideWhenUsed/>
    <w:rsid w:val="00B911C1"/>
    <w:pPr>
      <w:ind w:left="720" w:hanging="360"/>
      <w:contextualSpacing/>
    </w:pPr>
  </w:style>
  <w:style w:type="paragraph" w:styleId="Bibliography">
    <w:name w:val="Bibliography"/>
    <w:basedOn w:val="Normal"/>
    <w:next w:val="Normal"/>
    <w:uiPriority w:val="37"/>
    <w:unhideWhenUsed/>
    <w:rsid w:val="00790FA2"/>
  </w:style>
  <w:style w:type="character" w:styleId="UnresolvedMention">
    <w:name w:val="Unresolved Mention"/>
    <w:basedOn w:val="DefaultParagraphFont"/>
    <w:uiPriority w:val="99"/>
    <w:unhideWhenUsed/>
    <w:rsid w:val="0073496A"/>
    <w:rPr>
      <w:color w:val="605E5C"/>
      <w:shd w:val="clear" w:color="auto" w:fill="E1DFDD"/>
    </w:rPr>
  </w:style>
  <w:style w:type="character" w:styleId="Mention">
    <w:name w:val="Mention"/>
    <w:basedOn w:val="DefaultParagraphFont"/>
    <w:uiPriority w:val="99"/>
    <w:unhideWhenUsed/>
    <w:rsid w:val="0073496A"/>
    <w:rPr>
      <w:color w:val="2B579A"/>
      <w:shd w:val="clear" w:color="auto" w:fill="E1DFDD"/>
    </w:rPr>
  </w:style>
  <w:style w:type="paragraph" w:customStyle="1" w:styleId="3GPPAgreements">
    <w:name w:val="3GPP Agreements"/>
    <w:basedOn w:val="ListBullet"/>
    <w:link w:val="3GPPAgreementsChar"/>
    <w:qFormat/>
    <w:rsid w:val="00605075"/>
    <w:pPr>
      <w:spacing w:before="60" w:after="60"/>
      <w:contextualSpacing w:val="0"/>
      <w:jc w:val="both"/>
    </w:pPr>
    <w:rPr>
      <w:sz w:val="22"/>
      <w:lang w:val="en-US" w:eastAsia="zh-CN"/>
    </w:rPr>
  </w:style>
  <w:style w:type="character" w:customStyle="1" w:styleId="3GPPAgreementsChar">
    <w:name w:val="3GPP Agreements Char"/>
    <w:link w:val="3GPPAgreements"/>
    <w:qFormat/>
    <w:rsid w:val="00605075"/>
    <w:rPr>
      <w:rFonts w:ascii="Times New Roman" w:eastAsia="SimSun" w:hAnsi="Times New Roman"/>
      <w:sz w:val="22"/>
      <w:lang w:eastAsia="zh-CN"/>
    </w:rPr>
  </w:style>
  <w:style w:type="paragraph" w:styleId="ListBullet">
    <w:name w:val="List Bullet"/>
    <w:basedOn w:val="Normal"/>
    <w:uiPriority w:val="99"/>
    <w:unhideWhenUsed/>
    <w:rsid w:val="00605075"/>
    <w:pPr>
      <w:numPr>
        <w:numId w:val="19"/>
      </w:numPr>
      <w:spacing w:after="120"/>
      <w:contextualSpacing/>
      <w:textAlignment w:val="baseline"/>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357">
      <w:bodyDiv w:val="1"/>
      <w:marLeft w:val="0"/>
      <w:marRight w:val="0"/>
      <w:marTop w:val="0"/>
      <w:marBottom w:val="0"/>
      <w:divBdr>
        <w:top w:val="none" w:sz="0" w:space="0" w:color="auto"/>
        <w:left w:val="none" w:sz="0" w:space="0" w:color="auto"/>
        <w:bottom w:val="none" w:sz="0" w:space="0" w:color="auto"/>
        <w:right w:val="none" w:sz="0" w:space="0" w:color="auto"/>
      </w:divBdr>
    </w:div>
    <w:div w:id="4525178">
      <w:bodyDiv w:val="1"/>
      <w:marLeft w:val="0"/>
      <w:marRight w:val="0"/>
      <w:marTop w:val="0"/>
      <w:marBottom w:val="0"/>
      <w:divBdr>
        <w:top w:val="none" w:sz="0" w:space="0" w:color="auto"/>
        <w:left w:val="none" w:sz="0" w:space="0" w:color="auto"/>
        <w:bottom w:val="none" w:sz="0" w:space="0" w:color="auto"/>
        <w:right w:val="none" w:sz="0" w:space="0" w:color="auto"/>
      </w:divBdr>
    </w:div>
    <w:div w:id="37626468">
      <w:bodyDiv w:val="1"/>
      <w:marLeft w:val="0"/>
      <w:marRight w:val="0"/>
      <w:marTop w:val="0"/>
      <w:marBottom w:val="0"/>
      <w:divBdr>
        <w:top w:val="none" w:sz="0" w:space="0" w:color="auto"/>
        <w:left w:val="none" w:sz="0" w:space="0" w:color="auto"/>
        <w:bottom w:val="none" w:sz="0" w:space="0" w:color="auto"/>
        <w:right w:val="none" w:sz="0" w:space="0" w:color="auto"/>
      </w:divBdr>
    </w:div>
    <w:div w:id="54280457">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20223509">
      <w:bodyDiv w:val="1"/>
      <w:marLeft w:val="0"/>
      <w:marRight w:val="0"/>
      <w:marTop w:val="0"/>
      <w:marBottom w:val="0"/>
      <w:divBdr>
        <w:top w:val="none" w:sz="0" w:space="0" w:color="auto"/>
        <w:left w:val="none" w:sz="0" w:space="0" w:color="auto"/>
        <w:bottom w:val="none" w:sz="0" w:space="0" w:color="auto"/>
        <w:right w:val="none" w:sz="0" w:space="0" w:color="auto"/>
      </w:divBdr>
    </w:div>
    <w:div w:id="125197688">
      <w:bodyDiv w:val="1"/>
      <w:marLeft w:val="0"/>
      <w:marRight w:val="0"/>
      <w:marTop w:val="0"/>
      <w:marBottom w:val="0"/>
      <w:divBdr>
        <w:top w:val="none" w:sz="0" w:space="0" w:color="auto"/>
        <w:left w:val="none" w:sz="0" w:space="0" w:color="auto"/>
        <w:bottom w:val="none" w:sz="0" w:space="0" w:color="auto"/>
        <w:right w:val="none" w:sz="0" w:space="0" w:color="auto"/>
      </w:divBdr>
    </w:div>
    <w:div w:id="145318013">
      <w:bodyDiv w:val="1"/>
      <w:marLeft w:val="0"/>
      <w:marRight w:val="0"/>
      <w:marTop w:val="0"/>
      <w:marBottom w:val="0"/>
      <w:divBdr>
        <w:top w:val="none" w:sz="0" w:space="0" w:color="auto"/>
        <w:left w:val="none" w:sz="0" w:space="0" w:color="auto"/>
        <w:bottom w:val="none" w:sz="0" w:space="0" w:color="auto"/>
        <w:right w:val="none" w:sz="0" w:space="0" w:color="auto"/>
      </w:divBdr>
    </w:div>
    <w:div w:id="151869887">
      <w:bodyDiv w:val="1"/>
      <w:marLeft w:val="0"/>
      <w:marRight w:val="0"/>
      <w:marTop w:val="0"/>
      <w:marBottom w:val="0"/>
      <w:divBdr>
        <w:top w:val="none" w:sz="0" w:space="0" w:color="auto"/>
        <w:left w:val="none" w:sz="0" w:space="0" w:color="auto"/>
        <w:bottom w:val="none" w:sz="0" w:space="0" w:color="auto"/>
        <w:right w:val="none" w:sz="0" w:space="0" w:color="auto"/>
      </w:divBdr>
    </w:div>
    <w:div w:id="173999033">
      <w:bodyDiv w:val="1"/>
      <w:marLeft w:val="0"/>
      <w:marRight w:val="0"/>
      <w:marTop w:val="0"/>
      <w:marBottom w:val="0"/>
      <w:divBdr>
        <w:top w:val="none" w:sz="0" w:space="0" w:color="auto"/>
        <w:left w:val="none" w:sz="0" w:space="0" w:color="auto"/>
        <w:bottom w:val="none" w:sz="0" w:space="0" w:color="auto"/>
        <w:right w:val="none" w:sz="0" w:space="0" w:color="auto"/>
      </w:divBdr>
    </w:div>
    <w:div w:id="177430973">
      <w:bodyDiv w:val="1"/>
      <w:marLeft w:val="0"/>
      <w:marRight w:val="0"/>
      <w:marTop w:val="0"/>
      <w:marBottom w:val="0"/>
      <w:divBdr>
        <w:top w:val="none" w:sz="0" w:space="0" w:color="auto"/>
        <w:left w:val="none" w:sz="0" w:space="0" w:color="auto"/>
        <w:bottom w:val="none" w:sz="0" w:space="0" w:color="auto"/>
        <w:right w:val="none" w:sz="0" w:space="0" w:color="auto"/>
      </w:divBdr>
    </w:div>
    <w:div w:id="188029572">
      <w:bodyDiv w:val="1"/>
      <w:marLeft w:val="0"/>
      <w:marRight w:val="0"/>
      <w:marTop w:val="0"/>
      <w:marBottom w:val="0"/>
      <w:divBdr>
        <w:top w:val="none" w:sz="0" w:space="0" w:color="auto"/>
        <w:left w:val="none" w:sz="0" w:space="0" w:color="auto"/>
        <w:bottom w:val="none" w:sz="0" w:space="0" w:color="auto"/>
        <w:right w:val="none" w:sz="0" w:space="0" w:color="auto"/>
      </w:divBdr>
    </w:div>
    <w:div w:id="201017093">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7662724">
      <w:bodyDiv w:val="1"/>
      <w:marLeft w:val="0"/>
      <w:marRight w:val="0"/>
      <w:marTop w:val="0"/>
      <w:marBottom w:val="0"/>
      <w:divBdr>
        <w:top w:val="none" w:sz="0" w:space="0" w:color="auto"/>
        <w:left w:val="none" w:sz="0" w:space="0" w:color="auto"/>
        <w:bottom w:val="none" w:sz="0" w:space="0" w:color="auto"/>
        <w:right w:val="none" w:sz="0" w:space="0" w:color="auto"/>
      </w:divBdr>
    </w:div>
    <w:div w:id="289866283">
      <w:bodyDiv w:val="1"/>
      <w:marLeft w:val="0"/>
      <w:marRight w:val="0"/>
      <w:marTop w:val="0"/>
      <w:marBottom w:val="0"/>
      <w:divBdr>
        <w:top w:val="none" w:sz="0" w:space="0" w:color="auto"/>
        <w:left w:val="none" w:sz="0" w:space="0" w:color="auto"/>
        <w:bottom w:val="none" w:sz="0" w:space="0" w:color="auto"/>
        <w:right w:val="none" w:sz="0" w:space="0" w:color="auto"/>
      </w:divBdr>
    </w:div>
    <w:div w:id="344400802">
      <w:bodyDiv w:val="1"/>
      <w:marLeft w:val="0"/>
      <w:marRight w:val="0"/>
      <w:marTop w:val="0"/>
      <w:marBottom w:val="0"/>
      <w:divBdr>
        <w:top w:val="none" w:sz="0" w:space="0" w:color="auto"/>
        <w:left w:val="none" w:sz="0" w:space="0" w:color="auto"/>
        <w:bottom w:val="none" w:sz="0" w:space="0" w:color="auto"/>
        <w:right w:val="none" w:sz="0" w:space="0" w:color="auto"/>
      </w:divBdr>
    </w:div>
    <w:div w:id="355274342">
      <w:bodyDiv w:val="1"/>
      <w:marLeft w:val="0"/>
      <w:marRight w:val="0"/>
      <w:marTop w:val="0"/>
      <w:marBottom w:val="0"/>
      <w:divBdr>
        <w:top w:val="none" w:sz="0" w:space="0" w:color="auto"/>
        <w:left w:val="none" w:sz="0" w:space="0" w:color="auto"/>
        <w:bottom w:val="none" w:sz="0" w:space="0" w:color="auto"/>
        <w:right w:val="none" w:sz="0" w:space="0" w:color="auto"/>
      </w:divBdr>
    </w:div>
    <w:div w:id="361781455">
      <w:bodyDiv w:val="1"/>
      <w:marLeft w:val="0"/>
      <w:marRight w:val="0"/>
      <w:marTop w:val="0"/>
      <w:marBottom w:val="0"/>
      <w:divBdr>
        <w:top w:val="none" w:sz="0" w:space="0" w:color="auto"/>
        <w:left w:val="none" w:sz="0" w:space="0" w:color="auto"/>
        <w:bottom w:val="none" w:sz="0" w:space="0" w:color="auto"/>
        <w:right w:val="none" w:sz="0" w:space="0" w:color="auto"/>
      </w:divBdr>
    </w:div>
    <w:div w:id="371998789">
      <w:bodyDiv w:val="1"/>
      <w:marLeft w:val="0"/>
      <w:marRight w:val="0"/>
      <w:marTop w:val="0"/>
      <w:marBottom w:val="0"/>
      <w:divBdr>
        <w:top w:val="none" w:sz="0" w:space="0" w:color="auto"/>
        <w:left w:val="none" w:sz="0" w:space="0" w:color="auto"/>
        <w:bottom w:val="none" w:sz="0" w:space="0" w:color="auto"/>
        <w:right w:val="none" w:sz="0" w:space="0" w:color="auto"/>
      </w:divBdr>
    </w:div>
    <w:div w:id="378553086">
      <w:bodyDiv w:val="1"/>
      <w:marLeft w:val="0"/>
      <w:marRight w:val="0"/>
      <w:marTop w:val="0"/>
      <w:marBottom w:val="0"/>
      <w:divBdr>
        <w:top w:val="none" w:sz="0" w:space="0" w:color="auto"/>
        <w:left w:val="none" w:sz="0" w:space="0" w:color="auto"/>
        <w:bottom w:val="none" w:sz="0" w:space="0" w:color="auto"/>
        <w:right w:val="none" w:sz="0" w:space="0" w:color="auto"/>
      </w:divBdr>
    </w:div>
    <w:div w:id="380904827">
      <w:bodyDiv w:val="1"/>
      <w:marLeft w:val="0"/>
      <w:marRight w:val="0"/>
      <w:marTop w:val="0"/>
      <w:marBottom w:val="0"/>
      <w:divBdr>
        <w:top w:val="none" w:sz="0" w:space="0" w:color="auto"/>
        <w:left w:val="none" w:sz="0" w:space="0" w:color="auto"/>
        <w:bottom w:val="none" w:sz="0" w:space="0" w:color="auto"/>
        <w:right w:val="none" w:sz="0" w:space="0" w:color="auto"/>
      </w:divBdr>
    </w:div>
    <w:div w:id="421684800">
      <w:bodyDiv w:val="1"/>
      <w:marLeft w:val="0"/>
      <w:marRight w:val="0"/>
      <w:marTop w:val="0"/>
      <w:marBottom w:val="0"/>
      <w:divBdr>
        <w:top w:val="none" w:sz="0" w:space="0" w:color="auto"/>
        <w:left w:val="none" w:sz="0" w:space="0" w:color="auto"/>
        <w:bottom w:val="none" w:sz="0" w:space="0" w:color="auto"/>
        <w:right w:val="none" w:sz="0" w:space="0" w:color="auto"/>
      </w:divBdr>
    </w:div>
    <w:div w:id="449933970">
      <w:bodyDiv w:val="1"/>
      <w:marLeft w:val="0"/>
      <w:marRight w:val="0"/>
      <w:marTop w:val="0"/>
      <w:marBottom w:val="0"/>
      <w:divBdr>
        <w:top w:val="none" w:sz="0" w:space="0" w:color="auto"/>
        <w:left w:val="none" w:sz="0" w:space="0" w:color="auto"/>
        <w:bottom w:val="none" w:sz="0" w:space="0" w:color="auto"/>
        <w:right w:val="none" w:sz="0" w:space="0" w:color="auto"/>
      </w:divBdr>
    </w:div>
    <w:div w:id="459304393">
      <w:bodyDiv w:val="1"/>
      <w:marLeft w:val="0"/>
      <w:marRight w:val="0"/>
      <w:marTop w:val="0"/>
      <w:marBottom w:val="0"/>
      <w:divBdr>
        <w:top w:val="none" w:sz="0" w:space="0" w:color="auto"/>
        <w:left w:val="none" w:sz="0" w:space="0" w:color="auto"/>
        <w:bottom w:val="none" w:sz="0" w:space="0" w:color="auto"/>
        <w:right w:val="none" w:sz="0" w:space="0" w:color="auto"/>
      </w:divBdr>
    </w:div>
    <w:div w:id="462698911">
      <w:bodyDiv w:val="1"/>
      <w:marLeft w:val="0"/>
      <w:marRight w:val="0"/>
      <w:marTop w:val="0"/>
      <w:marBottom w:val="0"/>
      <w:divBdr>
        <w:top w:val="none" w:sz="0" w:space="0" w:color="auto"/>
        <w:left w:val="none" w:sz="0" w:space="0" w:color="auto"/>
        <w:bottom w:val="none" w:sz="0" w:space="0" w:color="auto"/>
        <w:right w:val="none" w:sz="0" w:space="0" w:color="auto"/>
      </w:divBdr>
    </w:div>
    <w:div w:id="467285602">
      <w:bodyDiv w:val="1"/>
      <w:marLeft w:val="0"/>
      <w:marRight w:val="0"/>
      <w:marTop w:val="0"/>
      <w:marBottom w:val="0"/>
      <w:divBdr>
        <w:top w:val="none" w:sz="0" w:space="0" w:color="auto"/>
        <w:left w:val="none" w:sz="0" w:space="0" w:color="auto"/>
        <w:bottom w:val="none" w:sz="0" w:space="0" w:color="auto"/>
        <w:right w:val="none" w:sz="0" w:space="0" w:color="auto"/>
      </w:divBdr>
    </w:div>
    <w:div w:id="473717205">
      <w:bodyDiv w:val="1"/>
      <w:marLeft w:val="0"/>
      <w:marRight w:val="0"/>
      <w:marTop w:val="0"/>
      <w:marBottom w:val="0"/>
      <w:divBdr>
        <w:top w:val="none" w:sz="0" w:space="0" w:color="auto"/>
        <w:left w:val="none" w:sz="0" w:space="0" w:color="auto"/>
        <w:bottom w:val="none" w:sz="0" w:space="0" w:color="auto"/>
        <w:right w:val="none" w:sz="0" w:space="0" w:color="auto"/>
      </w:divBdr>
      <w:divsChild>
        <w:div w:id="966467560">
          <w:marLeft w:val="0"/>
          <w:marRight w:val="0"/>
          <w:marTop w:val="0"/>
          <w:marBottom w:val="0"/>
          <w:divBdr>
            <w:top w:val="none" w:sz="0" w:space="0" w:color="auto"/>
            <w:left w:val="none" w:sz="0" w:space="0" w:color="auto"/>
            <w:bottom w:val="none" w:sz="0" w:space="0" w:color="auto"/>
            <w:right w:val="none" w:sz="0" w:space="0" w:color="auto"/>
          </w:divBdr>
        </w:div>
      </w:divsChild>
    </w:div>
    <w:div w:id="497313034">
      <w:bodyDiv w:val="1"/>
      <w:marLeft w:val="0"/>
      <w:marRight w:val="0"/>
      <w:marTop w:val="0"/>
      <w:marBottom w:val="0"/>
      <w:divBdr>
        <w:top w:val="none" w:sz="0" w:space="0" w:color="auto"/>
        <w:left w:val="none" w:sz="0" w:space="0" w:color="auto"/>
        <w:bottom w:val="none" w:sz="0" w:space="0" w:color="auto"/>
        <w:right w:val="none" w:sz="0" w:space="0" w:color="auto"/>
      </w:divBdr>
    </w:div>
    <w:div w:id="509300282">
      <w:bodyDiv w:val="1"/>
      <w:marLeft w:val="0"/>
      <w:marRight w:val="0"/>
      <w:marTop w:val="0"/>
      <w:marBottom w:val="0"/>
      <w:divBdr>
        <w:top w:val="none" w:sz="0" w:space="0" w:color="auto"/>
        <w:left w:val="none" w:sz="0" w:space="0" w:color="auto"/>
        <w:bottom w:val="none" w:sz="0" w:space="0" w:color="auto"/>
        <w:right w:val="none" w:sz="0" w:space="0" w:color="auto"/>
      </w:divBdr>
    </w:div>
    <w:div w:id="515506980">
      <w:bodyDiv w:val="1"/>
      <w:marLeft w:val="0"/>
      <w:marRight w:val="0"/>
      <w:marTop w:val="0"/>
      <w:marBottom w:val="0"/>
      <w:divBdr>
        <w:top w:val="none" w:sz="0" w:space="0" w:color="auto"/>
        <w:left w:val="none" w:sz="0" w:space="0" w:color="auto"/>
        <w:bottom w:val="none" w:sz="0" w:space="0" w:color="auto"/>
        <w:right w:val="none" w:sz="0" w:space="0" w:color="auto"/>
      </w:divBdr>
    </w:div>
    <w:div w:id="540476614">
      <w:bodyDiv w:val="1"/>
      <w:marLeft w:val="0"/>
      <w:marRight w:val="0"/>
      <w:marTop w:val="0"/>
      <w:marBottom w:val="0"/>
      <w:divBdr>
        <w:top w:val="none" w:sz="0" w:space="0" w:color="auto"/>
        <w:left w:val="none" w:sz="0" w:space="0" w:color="auto"/>
        <w:bottom w:val="none" w:sz="0" w:space="0" w:color="auto"/>
        <w:right w:val="none" w:sz="0" w:space="0" w:color="auto"/>
      </w:divBdr>
    </w:div>
    <w:div w:id="603272777">
      <w:bodyDiv w:val="1"/>
      <w:marLeft w:val="0"/>
      <w:marRight w:val="0"/>
      <w:marTop w:val="0"/>
      <w:marBottom w:val="0"/>
      <w:divBdr>
        <w:top w:val="none" w:sz="0" w:space="0" w:color="auto"/>
        <w:left w:val="none" w:sz="0" w:space="0" w:color="auto"/>
        <w:bottom w:val="none" w:sz="0" w:space="0" w:color="auto"/>
        <w:right w:val="none" w:sz="0" w:space="0" w:color="auto"/>
      </w:divBdr>
    </w:div>
    <w:div w:id="603879051">
      <w:bodyDiv w:val="1"/>
      <w:marLeft w:val="0"/>
      <w:marRight w:val="0"/>
      <w:marTop w:val="0"/>
      <w:marBottom w:val="0"/>
      <w:divBdr>
        <w:top w:val="none" w:sz="0" w:space="0" w:color="auto"/>
        <w:left w:val="none" w:sz="0" w:space="0" w:color="auto"/>
        <w:bottom w:val="none" w:sz="0" w:space="0" w:color="auto"/>
        <w:right w:val="none" w:sz="0" w:space="0" w:color="auto"/>
      </w:divBdr>
    </w:div>
    <w:div w:id="616177196">
      <w:bodyDiv w:val="1"/>
      <w:marLeft w:val="0"/>
      <w:marRight w:val="0"/>
      <w:marTop w:val="0"/>
      <w:marBottom w:val="0"/>
      <w:divBdr>
        <w:top w:val="none" w:sz="0" w:space="0" w:color="auto"/>
        <w:left w:val="none" w:sz="0" w:space="0" w:color="auto"/>
        <w:bottom w:val="none" w:sz="0" w:space="0" w:color="auto"/>
        <w:right w:val="none" w:sz="0" w:space="0" w:color="auto"/>
      </w:divBdr>
    </w:div>
    <w:div w:id="645014117">
      <w:bodyDiv w:val="1"/>
      <w:marLeft w:val="0"/>
      <w:marRight w:val="0"/>
      <w:marTop w:val="0"/>
      <w:marBottom w:val="0"/>
      <w:divBdr>
        <w:top w:val="none" w:sz="0" w:space="0" w:color="auto"/>
        <w:left w:val="none" w:sz="0" w:space="0" w:color="auto"/>
        <w:bottom w:val="none" w:sz="0" w:space="0" w:color="auto"/>
        <w:right w:val="none" w:sz="0" w:space="0" w:color="auto"/>
      </w:divBdr>
    </w:div>
    <w:div w:id="650712945">
      <w:bodyDiv w:val="1"/>
      <w:marLeft w:val="0"/>
      <w:marRight w:val="0"/>
      <w:marTop w:val="0"/>
      <w:marBottom w:val="0"/>
      <w:divBdr>
        <w:top w:val="none" w:sz="0" w:space="0" w:color="auto"/>
        <w:left w:val="none" w:sz="0" w:space="0" w:color="auto"/>
        <w:bottom w:val="none" w:sz="0" w:space="0" w:color="auto"/>
        <w:right w:val="none" w:sz="0" w:space="0" w:color="auto"/>
      </w:divBdr>
    </w:div>
    <w:div w:id="653342307">
      <w:bodyDiv w:val="1"/>
      <w:marLeft w:val="0"/>
      <w:marRight w:val="0"/>
      <w:marTop w:val="0"/>
      <w:marBottom w:val="0"/>
      <w:divBdr>
        <w:top w:val="none" w:sz="0" w:space="0" w:color="auto"/>
        <w:left w:val="none" w:sz="0" w:space="0" w:color="auto"/>
        <w:bottom w:val="none" w:sz="0" w:space="0" w:color="auto"/>
        <w:right w:val="none" w:sz="0" w:space="0" w:color="auto"/>
      </w:divBdr>
    </w:div>
    <w:div w:id="692345986">
      <w:bodyDiv w:val="1"/>
      <w:marLeft w:val="0"/>
      <w:marRight w:val="0"/>
      <w:marTop w:val="0"/>
      <w:marBottom w:val="0"/>
      <w:divBdr>
        <w:top w:val="none" w:sz="0" w:space="0" w:color="auto"/>
        <w:left w:val="none" w:sz="0" w:space="0" w:color="auto"/>
        <w:bottom w:val="none" w:sz="0" w:space="0" w:color="auto"/>
        <w:right w:val="none" w:sz="0" w:space="0" w:color="auto"/>
      </w:divBdr>
    </w:div>
    <w:div w:id="731998114">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2722402">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52887593">
      <w:bodyDiv w:val="1"/>
      <w:marLeft w:val="0"/>
      <w:marRight w:val="0"/>
      <w:marTop w:val="0"/>
      <w:marBottom w:val="0"/>
      <w:divBdr>
        <w:top w:val="none" w:sz="0" w:space="0" w:color="auto"/>
        <w:left w:val="none" w:sz="0" w:space="0" w:color="auto"/>
        <w:bottom w:val="none" w:sz="0" w:space="0" w:color="auto"/>
        <w:right w:val="none" w:sz="0" w:space="0" w:color="auto"/>
      </w:divBdr>
    </w:div>
    <w:div w:id="863206042">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0997646">
      <w:bodyDiv w:val="1"/>
      <w:marLeft w:val="0"/>
      <w:marRight w:val="0"/>
      <w:marTop w:val="0"/>
      <w:marBottom w:val="0"/>
      <w:divBdr>
        <w:top w:val="none" w:sz="0" w:space="0" w:color="auto"/>
        <w:left w:val="none" w:sz="0" w:space="0" w:color="auto"/>
        <w:bottom w:val="none" w:sz="0" w:space="0" w:color="auto"/>
        <w:right w:val="none" w:sz="0" w:space="0" w:color="auto"/>
      </w:divBdr>
    </w:div>
    <w:div w:id="882713441">
      <w:bodyDiv w:val="1"/>
      <w:marLeft w:val="0"/>
      <w:marRight w:val="0"/>
      <w:marTop w:val="0"/>
      <w:marBottom w:val="0"/>
      <w:divBdr>
        <w:top w:val="none" w:sz="0" w:space="0" w:color="auto"/>
        <w:left w:val="none" w:sz="0" w:space="0" w:color="auto"/>
        <w:bottom w:val="none" w:sz="0" w:space="0" w:color="auto"/>
        <w:right w:val="none" w:sz="0" w:space="0" w:color="auto"/>
      </w:divBdr>
      <w:divsChild>
        <w:div w:id="494608161">
          <w:marLeft w:val="0"/>
          <w:marRight w:val="0"/>
          <w:marTop w:val="0"/>
          <w:marBottom w:val="0"/>
          <w:divBdr>
            <w:top w:val="none" w:sz="0" w:space="0" w:color="auto"/>
            <w:left w:val="none" w:sz="0" w:space="0" w:color="auto"/>
            <w:bottom w:val="none" w:sz="0" w:space="0" w:color="auto"/>
            <w:right w:val="none" w:sz="0" w:space="0" w:color="auto"/>
          </w:divBdr>
        </w:div>
      </w:divsChild>
    </w:div>
    <w:div w:id="888878467">
      <w:bodyDiv w:val="1"/>
      <w:marLeft w:val="0"/>
      <w:marRight w:val="0"/>
      <w:marTop w:val="0"/>
      <w:marBottom w:val="0"/>
      <w:divBdr>
        <w:top w:val="none" w:sz="0" w:space="0" w:color="auto"/>
        <w:left w:val="none" w:sz="0" w:space="0" w:color="auto"/>
        <w:bottom w:val="none" w:sz="0" w:space="0" w:color="auto"/>
        <w:right w:val="none" w:sz="0" w:space="0" w:color="auto"/>
      </w:divBdr>
    </w:div>
    <w:div w:id="911239432">
      <w:bodyDiv w:val="1"/>
      <w:marLeft w:val="0"/>
      <w:marRight w:val="0"/>
      <w:marTop w:val="0"/>
      <w:marBottom w:val="0"/>
      <w:divBdr>
        <w:top w:val="none" w:sz="0" w:space="0" w:color="auto"/>
        <w:left w:val="none" w:sz="0" w:space="0" w:color="auto"/>
        <w:bottom w:val="none" w:sz="0" w:space="0" w:color="auto"/>
        <w:right w:val="none" w:sz="0" w:space="0" w:color="auto"/>
      </w:divBdr>
    </w:div>
    <w:div w:id="928467586">
      <w:bodyDiv w:val="1"/>
      <w:marLeft w:val="0"/>
      <w:marRight w:val="0"/>
      <w:marTop w:val="0"/>
      <w:marBottom w:val="0"/>
      <w:divBdr>
        <w:top w:val="none" w:sz="0" w:space="0" w:color="auto"/>
        <w:left w:val="none" w:sz="0" w:space="0" w:color="auto"/>
        <w:bottom w:val="none" w:sz="0" w:space="0" w:color="auto"/>
        <w:right w:val="none" w:sz="0" w:space="0" w:color="auto"/>
      </w:divBdr>
    </w:div>
    <w:div w:id="944271066">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25912249">
      <w:bodyDiv w:val="1"/>
      <w:marLeft w:val="0"/>
      <w:marRight w:val="0"/>
      <w:marTop w:val="0"/>
      <w:marBottom w:val="0"/>
      <w:divBdr>
        <w:top w:val="none" w:sz="0" w:space="0" w:color="auto"/>
        <w:left w:val="none" w:sz="0" w:space="0" w:color="auto"/>
        <w:bottom w:val="none" w:sz="0" w:space="0" w:color="auto"/>
        <w:right w:val="none" w:sz="0" w:space="0" w:color="auto"/>
      </w:divBdr>
    </w:div>
    <w:div w:id="1029374664">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81220662">
      <w:bodyDiv w:val="1"/>
      <w:marLeft w:val="0"/>
      <w:marRight w:val="0"/>
      <w:marTop w:val="0"/>
      <w:marBottom w:val="0"/>
      <w:divBdr>
        <w:top w:val="none" w:sz="0" w:space="0" w:color="auto"/>
        <w:left w:val="none" w:sz="0" w:space="0" w:color="auto"/>
        <w:bottom w:val="none" w:sz="0" w:space="0" w:color="auto"/>
        <w:right w:val="none" w:sz="0" w:space="0" w:color="auto"/>
      </w:divBdr>
    </w:div>
    <w:div w:id="1082874337">
      <w:bodyDiv w:val="1"/>
      <w:marLeft w:val="0"/>
      <w:marRight w:val="0"/>
      <w:marTop w:val="0"/>
      <w:marBottom w:val="0"/>
      <w:divBdr>
        <w:top w:val="none" w:sz="0" w:space="0" w:color="auto"/>
        <w:left w:val="none" w:sz="0" w:space="0" w:color="auto"/>
        <w:bottom w:val="none" w:sz="0" w:space="0" w:color="auto"/>
        <w:right w:val="none" w:sz="0" w:space="0" w:color="auto"/>
      </w:divBdr>
    </w:div>
    <w:div w:id="1088160637">
      <w:bodyDiv w:val="1"/>
      <w:marLeft w:val="0"/>
      <w:marRight w:val="0"/>
      <w:marTop w:val="0"/>
      <w:marBottom w:val="0"/>
      <w:divBdr>
        <w:top w:val="none" w:sz="0" w:space="0" w:color="auto"/>
        <w:left w:val="none" w:sz="0" w:space="0" w:color="auto"/>
        <w:bottom w:val="none" w:sz="0" w:space="0" w:color="auto"/>
        <w:right w:val="none" w:sz="0" w:space="0" w:color="auto"/>
      </w:divBdr>
    </w:div>
    <w:div w:id="1092236235">
      <w:bodyDiv w:val="1"/>
      <w:marLeft w:val="0"/>
      <w:marRight w:val="0"/>
      <w:marTop w:val="0"/>
      <w:marBottom w:val="0"/>
      <w:divBdr>
        <w:top w:val="none" w:sz="0" w:space="0" w:color="auto"/>
        <w:left w:val="none" w:sz="0" w:space="0" w:color="auto"/>
        <w:bottom w:val="none" w:sz="0" w:space="0" w:color="auto"/>
        <w:right w:val="none" w:sz="0" w:space="0" w:color="auto"/>
      </w:divBdr>
    </w:div>
    <w:div w:id="1129544398">
      <w:bodyDiv w:val="1"/>
      <w:marLeft w:val="0"/>
      <w:marRight w:val="0"/>
      <w:marTop w:val="0"/>
      <w:marBottom w:val="0"/>
      <w:divBdr>
        <w:top w:val="none" w:sz="0" w:space="0" w:color="auto"/>
        <w:left w:val="none" w:sz="0" w:space="0" w:color="auto"/>
        <w:bottom w:val="none" w:sz="0" w:space="0" w:color="auto"/>
        <w:right w:val="none" w:sz="0" w:space="0" w:color="auto"/>
      </w:divBdr>
    </w:div>
    <w:div w:id="1134375774">
      <w:bodyDiv w:val="1"/>
      <w:marLeft w:val="0"/>
      <w:marRight w:val="0"/>
      <w:marTop w:val="0"/>
      <w:marBottom w:val="0"/>
      <w:divBdr>
        <w:top w:val="none" w:sz="0" w:space="0" w:color="auto"/>
        <w:left w:val="none" w:sz="0" w:space="0" w:color="auto"/>
        <w:bottom w:val="none" w:sz="0" w:space="0" w:color="auto"/>
        <w:right w:val="none" w:sz="0" w:space="0" w:color="auto"/>
      </w:divBdr>
    </w:div>
    <w:div w:id="1151018759">
      <w:bodyDiv w:val="1"/>
      <w:marLeft w:val="0"/>
      <w:marRight w:val="0"/>
      <w:marTop w:val="0"/>
      <w:marBottom w:val="0"/>
      <w:divBdr>
        <w:top w:val="none" w:sz="0" w:space="0" w:color="auto"/>
        <w:left w:val="none" w:sz="0" w:space="0" w:color="auto"/>
        <w:bottom w:val="none" w:sz="0" w:space="0" w:color="auto"/>
        <w:right w:val="none" w:sz="0" w:space="0" w:color="auto"/>
      </w:divBdr>
    </w:div>
    <w:div w:id="1160079760">
      <w:bodyDiv w:val="1"/>
      <w:marLeft w:val="0"/>
      <w:marRight w:val="0"/>
      <w:marTop w:val="0"/>
      <w:marBottom w:val="0"/>
      <w:divBdr>
        <w:top w:val="none" w:sz="0" w:space="0" w:color="auto"/>
        <w:left w:val="none" w:sz="0" w:space="0" w:color="auto"/>
        <w:bottom w:val="none" w:sz="0" w:space="0" w:color="auto"/>
        <w:right w:val="none" w:sz="0" w:space="0" w:color="auto"/>
      </w:divBdr>
    </w:div>
    <w:div w:id="1190875474">
      <w:bodyDiv w:val="1"/>
      <w:marLeft w:val="0"/>
      <w:marRight w:val="0"/>
      <w:marTop w:val="0"/>
      <w:marBottom w:val="0"/>
      <w:divBdr>
        <w:top w:val="none" w:sz="0" w:space="0" w:color="auto"/>
        <w:left w:val="none" w:sz="0" w:space="0" w:color="auto"/>
        <w:bottom w:val="none" w:sz="0" w:space="0" w:color="auto"/>
        <w:right w:val="none" w:sz="0" w:space="0" w:color="auto"/>
      </w:divBdr>
    </w:div>
    <w:div w:id="1218130122">
      <w:bodyDiv w:val="1"/>
      <w:marLeft w:val="0"/>
      <w:marRight w:val="0"/>
      <w:marTop w:val="0"/>
      <w:marBottom w:val="0"/>
      <w:divBdr>
        <w:top w:val="none" w:sz="0" w:space="0" w:color="auto"/>
        <w:left w:val="none" w:sz="0" w:space="0" w:color="auto"/>
        <w:bottom w:val="none" w:sz="0" w:space="0" w:color="auto"/>
        <w:right w:val="none" w:sz="0" w:space="0" w:color="auto"/>
      </w:divBdr>
    </w:div>
    <w:div w:id="1221475138">
      <w:bodyDiv w:val="1"/>
      <w:marLeft w:val="0"/>
      <w:marRight w:val="0"/>
      <w:marTop w:val="0"/>
      <w:marBottom w:val="0"/>
      <w:divBdr>
        <w:top w:val="none" w:sz="0" w:space="0" w:color="auto"/>
        <w:left w:val="none" w:sz="0" w:space="0" w:color="auto"/>
        <w:bottom w:val="none" w:sz="0" w:space="0" w:color="auto"/>
        <w:right w:val="none" w:sz="0" w:space="0" w:color="auto"/>
      </w:divBdr>
    </w:div>
    <w:div w:id="1230388218">
      <w:bodyDiv w:val="1"/>
      <w:marLeft w:val="0"/>
      <w:marRight w:val="0"/>
      <w:marTop w:val="0"/>
      <w:marBottom w:val="0"/>
      <w:divBdr>
        <w:top w:val="none" w:sz="0" w:space="0" w:color="auto"/>
        <w:left w:val="none" w:sz="0" w:space="0" w:color="auto"/>
        <w:bottom w:val="none" w:sz="0" w:space="0" w:color="auto"/>
        <w:right w:val="none" w:sz="0" w:space="0" w:color="auto"/>
      </w:divBdr>
    </w:div>
    <w:div w:id="1270813981">
      <w:bodyDiv w:val="1"/>
      <w:marLeft w:val="0"/>
      <w:marRight w:val="0"/>
      <w:marTop w:val="0"/>
      <w:marBottom w:val="0"/>
      <w:divBdr>
        <w:top w:val="none" w:sz="0" w:space="0" w:color="auto"/>
        <w:left w:val="none" w:sz="0" w:space="0" w:color="auto"/>
        <w:bottom w:val="none" w:sz="0" w:space="0" w:color="auto"/>
        <w:right w:val="none" w:sz="0" w:space="0" w:color="auto"/>
      </w:divBdr>
    </w:div>
    <w:div w:id="1282348657">
      <w:bodyDiv w:val="1"/>
      <w:marLeft w:val="0"/>
      <w:marRight w:val="0"/>
      <w:marTop w:val="0"/>
      <w:marBottom w:val="0"/>
      <w:divBdr>
        <w:top w:val="none" w:sz="0" w:space="0" w:color="auto"/>
        <w:left w:val="none" w:sz="0" w:space="0" w:color="auto"/>
        <w:bottom w:val="none" w:sz="0" w:space="0" w:color="auto"/>
        <w:right w:val="none" w:sz="0" w:space="0" w:color="auto"/>
      </w:divBdr>
    </w:div>
    <w:div w:id="1287269837">
      <w:bodyDiv w:val="1"/>
      <w:marLeft w:val="0"/>
      <w:marRight w:val="0"/>
      <w:marTop w:val="0"/>
      <w:marBottom w:val="0"/>
      <w:divBdr>
        <w:top w:val="none" w:sz="0" w:space="0" w:color="auto"/>
        <w:left w:val="none" w:sz="0" w:space="0" w:color="auto"/>
        <w:bottom w:val="none" w:sz="0" w:space="0" w:color="auto"/>
        <w:right w:val="none" w:sz="0" w:space="0" w:color="auto"/>
      </w:divBdr>
    </w:div>
    <w:div w:id="1314990197">
      <w:bodyDiv w:val="1"/>
      <w:marLeft w:val="0"/>
      <w:marRight w:val="0"/>
      <w:marTop w:val="0"/>
      <w:marBottom w:val="0"/>
      <w:divBdr>
        <w:top w:val="none" w:sz="0" w:space="0" w:color="auto"/>
        <w:left w:val="none" w:sz="0" w:space="0" w:color="auto"/>
        <w:bottom w:val="none" w:sz="0" w:space="0" w:color="auto"/>
        <w:right w:val="none" w:sz="0" w:space="0" w:color="auto"/>
      </w:divBdr>
    </w:div>
    <w:div w:id="1327323526">
      <w:bodyDiv w:val="1"/>
      <w:marLeft w:val="0"/>
      <w:marRight w:val="0"/>
      <w:marTop w:val="0"/>
      <w:marBottom w:val="0"/>
      <w:divBdr>
        <w:top w:val="none" w:sz="0" w:space="0" w:color="auto"/>
        <w:left w:val="none" w:sz="0" w:space="0" w:color="auto"/>
        <w:bottom w:val="none" w:sz="0" w:space="0" w:color="auto"/>
        <w:right w:val="none" w:sz="0" w:space="0" w:color="auto"/>
      </w:divBdr>
    </w:div>
    <w:div w:id="1333291219">
      <w:bodyDiv w:val="1"/>
      <w:marLeft w:val="0"/>
      <w:marRight w:val="0"/>
      <w:marTop w:val="0"/>
      <w:marBottom w:val="0"/>
      <w:divBdr>
        <w:top w:val="none" w:sz="0" w:space="0" w:color="auto"/>
        <w:left w:val="none" w:sz="0" w:space="0" w:color="auto"/>
        <w:bottom w:val="none" w:sz="0" w:space="0" w:color="auto"/>
        <w:right w:val="none" w:sz="0" w:space="0" w:color="auto"/>
      </w:divBdr>
      <w:divsChild>
        <w:div w:id="86312038">
          <w:marLeft w:val="0"/>
          <w:marRight w:val="0"/>
          <w:marTop w:val="0"/>
          <w:marBottom w:val="0"/>
          <w:divBdr>
            <w:top w:val="none" w:sz="0" w:space="0" w:color="auto"/>
            <w:left w:val="none" w:sz="0" w:space="0" w:color="auto"/>
            <w:bottom w:val="none" w:sz="0" w:space="0" w:color="auto"/>
            <w:right w:val="none" w:sz="0" w:space="0" w:color="auto"/>
          </w:divBdr>
        </w:div>
      </w:divsChild>
    </w:div>
    <w:div w:id="1387145673">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394281104">
      <w:bodyDiv w:val="1"/>
      <w:marLeft w:val="0"/>
      <w:marRight w:val="0"/>
      <w:marTop w:val="0"/>
      <w:marBottom w:val="0"/>
      <w:divBdr>
        <w:top w:val="none" w:sz="0" w:space="0" w:color="auto"/>
        <w:left w:val="none" w:sz="0" w:space="0" w:color="auto"/>
        <w:bottom w:val="none" w:sz="0" w:space="0" w:color="auto"/>
        <w:right w:val="none" w:sz="0" w:space="0" w:color="auto"/>
      </w:divBdr>
    </w:div>
    <w:div w:id="1425028197">
      <w:bodyDiv w:val="1"/>
      <w:marLeft w:val="0"/>
      <w:marRight w:val="0"/>
      <w:marTop w:val="0"/>
      <w:marBottom w:val="0"/>
      <w:divBdr>
        <w:top w:val="none" w:sz="0" w:space="0" w:color="auto"/>
        <w:left w:val="none" w:sz="0" w:space="0" w:color="auto"/>
        <w:bottom w:val="none" w:sz="0" w:space="0" w:color="auto"/>
        <w:right w:val="none" w:sz="0" w:space="0" w:color="auto"/>
      </w:divBdr>
    </w:div>
    <w:div w:id="1425149978">
      <w:bodyDiv w:val="1"/>
      <w:marLeft w:val="0"/>
      <w:marRight w:val="0"/>
      <w:marTop w:val="0"/>
      <w:marBottom w:val="0"/>
      <w:divBdr>
        <w:top w:val="none" w:sz="0" w:space="0" w:color="auto"/>
        <w:left w:val="none" w:sz="0" w:space="0" w:color="auto"/>
        <w:bottom w:val="none" w:sz="0" w:space="0" w:color="auto"/>
        <w:right w:val="none" w:sz="0" w:space="0" w:color="auto"/>
      </w:divBdr>
    </w:div>
    <w:div w:id="1467818767">
      <w:bodyDiv w:val="1"/>
      <w:marLeft w:val="0"/>
      <w:marRight w:val="0"/>
      <w:marTop w:val="0"/>
      <w:marBottom w:val="0"/>
      <w:divBdr>
        <w:top w:val="none" w:sz="0" w:space="0" w:color="auto"/>
        <w:left w:val="none" w:sz="0" w:space="0" w:color="auto"/>
        <w:bottom w:val="none" w:sz="0" w:space="0" w:color="auto"/>
        <w:right w:val="none" w:sz="0" w:space="0" w:color="auto"/>
      </w:divBdr>
    </w:div>
    <w:div w:id="1468626803">
      <w:bodyDiv w:val="1"/>
      <w:marLeft w:val="0"/>
      <w:marRight w:val="0"/>
      <w:marTop w:val="0"/>
      <w:marBottom w:val="0"/>
      <w:divBdr>
        <w:top w:val="none" w:sz="0" w:space="0" w:color="auto"/>
        <w:left w:val="none" w:sz="0" w:space="0" w:color="auto"/>
        <w:bottom w:val="none" w:sz="0" w:space="0" w:color="auto"/>
        <w:right w:val="none" w:sz="0" w:space="0" w:color="auto"/>
      </w:divBdr>
    </w:div>
    <w:div w:id="1489706877">
      <w:bodyDiv w:val="1"/>
      <w:marLeft w:val="0"/>
      <w:marRight w:val="0"/>
      <w:marTop w:val="0"/>
      <w:marBottom w:val="0"/>
      <w:divBdr>
        <w:top w:val="none" w:sz="0" w:space="0" w:color="auto"/>
        <w:left w:val="none" w:sz="0" w:space="0" w:color="auto"/>
        <w:bottom w:val="none" w:sz="0" w:space="0" w:color="auto"/>
        <w:right w:val="none" w:sz="0" w:space="0" w:color="auto"/>
      </w:divBdr>
    </w:div>
    <w:div w:id="1496265074">
      <w:bodyDiv w:val="1"/>
      <w:marLeft w:val="0"/>
      <w:marRight w:val="0"/>
      <w:marTop w:val="0"/>
      <w:marBottom w:val="0"/>
      <w:divBdr>
        <w:top w:val="none" w:sz="0" w:space="0" w:color="auto"/>
        <w:left w:val="none" w:sz="0" w:space="0" w:color="auto"/>
        <w:bottom w:val="none" w:sz="0" w:space="0" w:color="auto"/>
        <w:right w:val="none" w:sz="0" w:space="0" w:color="auto"/>
      </w:divBdr>
    </w:div>
    <w:div w:id="1521551152">
      <w:bodyDiv w:val="1"/>
      <w:marLeft w:val="0"/>
      <w:marRight w:val="0"/>
      <w:marTop w:val="0"/>
      <w:marBottom w:val="0"/>
      <w:divBdr>
        <w:top w:val="none" w:sz="0" w:space="0" w:color="auto"/>
        <w:left w:val="none" w:sz="0" w:space="0" w:color="auto"/>
        <w:bottom w:val="none" w:sz="0" w:space="0" w:color="auto"/>
        <w:right w:val="none" w:sz="0" w:space="0" w:color="auto"/>
      </w:divBdr>
    </w:div>
    <w:div w:id="1543207218">
      <w:bodyDiv w:val="1"/>
      <w:marLeft w:val="0"/>
      <w:marRight w:val="0"/>
      <w:marTop w:val="0"/>
      <w:marBottom w:val="0"/>
      <w:divBdr>
        <w:top w:val="none" w:sz="0" w:space="0" w:color="auto"/>
        <w:left w:val="none" w:sz="0" w:space="0" w:color="auto"/>
        <w:bottom w:val="none" w:sz="0" w:space="0" w:color="auto"/>
        <w:right w:val="none" w:sz="0" w:space="0" w:color="auto"/>
      </w:divBdr>
    </w:div>
    <w:div w:id="1558708244">
      <w:bodyDiv w:val="1"/>
      <w:marLeft w:val="0"/>
      <w:marRight w:val="0"/>
      <w:marTop w:val="0"/>
      <w:marBottom w:val="0"/>
      <w:divBdr>
        <w:top w:val="none" w:sz="0" w:space="0" w:color="auto"/>
        <w:left w:val="none" w:sz="0" w:space="0" w:color="auto"/>
        <w:bottom w:val="none" w:sz="0" w:space="0" w:color="auto"/>
        <w:right w:val="none" w:sz="0" w:space="0" w:color="auto"/>
      </w:divBdr>
    </w:div>
    <w:div w:id="1570651096">
      <w:bodyDiv w:val="1"/>
      <w:marLeft w:val="0"/>
      <w:marRight w:val="0"/>
      <w:marTop w:val="0"/>
      <w:marBottom w:val="0"/>
      <w:divBdr>
        <w:top w:val="none" w:sz="0" w:space="0" w:color="auto"/>
        <w:left w:val="none" w:sz="0" w:space="0" w:color="auto"/>
        <w:bottom w:val="none" w:sz="0" w:space="0" w:color="auto"/>
        <w:right w:val="none" w:sz="0" w:space="0" w:color="auto"/>
      </w:divBdr>
    </w:div>
    <w:div w:id="1576890090">
      <w:bodyDiv w:val="1"/>
      <w:marLeft w:val="0"/>
      <w:marRight w:val="0"/>
      <w:marTop w:val="0"/>
      <w:marBottom w:val="0"/>
      <w:divBdr>
        <w:top w:val="none" w:sz="0" w:space="0" w:color="auto"/>
        <w:left w:val="none" w:sz="0" w:space="0" w:color="auto"/>
        <w:bottom w:val="none" w:sz="0" w:space="0" w:color="auto"/>
        <w:right w:val="none" w:sz="0" w:space="0" w:color="auto"/>
      </w:divBdr>
    </w:div>
    <w:div w:id="1608343547">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4016853">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55797016">
      <w:bodyDiv w:val="1"/>
      <w:marLeft w:val="0"/>
      <w:marRight w:val="0"/>
      <w:marTop w:val="0"/>
      <w:marBottom w:val="0"/>
      <w:divBdr>
        <w:top w:val="none" w:sz="0" w:space="0" w:color="auto"/>
        <w:left w:val="none" w:sz="0" w:space="0" w:color="auto"/>
        <w:bottom w:val="none" w:sz="0" w:space="0" w:color="auto"/>
        <w:right w:val="none" w:sz="0" w:space="0" w:color="auto"/>
      </w:divBdr>
    </w:div>
    <w:div w:id="1690329367">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20713627">
      <w:bodyDiv w:val="1"/>
      <w:marLeft w:val="0"/>
      <w:marRight w:val="0"/>
      <w:marTop w:val="0"/>
      <w:marBottom w:val="0"/>
      <w:divBdr>
        <w:top w:val="none" w:sz="0" w:space="0" w:color="auto"/>
        <w:left w:val="none" w:sz="0" w:space="0" w:color="auto"/>
        <w:bottom w:val="none" w:sz="0" w:space="0" w:color="auto"/>
        <w:right w:val="none" w:sz="0" w:space="0" w:color="auto"/>
      </w:divBdr>
    </w:div>
    <w:div w:id="1739553304">
      <w:bodyDiv w:val="1"/>
      <w:marLeft w:val="0"/>
      <w:marRight w:val="0"/>
      <w:marTop w:val="0"/>
      <w:marBottom w:val="0"/>
      <w:divBdr>
        <w:top w:val="none" w:sz="0" w:space="0" w:color="auto"/>
        <w:left w:val="none" w:sz="0" w:space="0" w:color="auto"/>
        <w:bottom w:val="none" w:sz="0" w:space="0" w:color="auto"/>
        <w:right w:val="none" w:sz="0" w:space="0" w:color="auto"/>
      </w:divBdr>
    </w:div>
    <w:div w:id="1747069682">
      <w:bodyDiv w:val="1"/>
      <w:marLeft w:val="0"/>
      <w:marRight w:val="0"/>
      <w:marTop w:val="0"/>
      <w:marBottom w:val="0"/>
      <w:divBdr>
        <w:top w:val="none" w:sz="0" w:space="0" w:color="auto"/>
        <w:left w:val="none" w:sz="0" w:space="0" w:color="auto"/>
        <w:bottom w:val="none" w:sz="0" w:space="0" w:color="auto"/>
        <w:right w:val="none" w:sz="0" w:space="0" w:color="auto"/>
      </w:divBdr>
    </w:div>
    <w:div w:id="1750615401">
      <w:bodyDiv w:val="1"/>
      <w:marLeft w:val="0"/>
      <w:marRight w:val="0"/>
      <w:marTop w:val="0"/>
      <w:marBottom w:val="0"/>
      <w:divBdr>
        <w:top w:val="none" w:sz="0" w:space="0" w:color="auto"/>
        <w:left w:val="none" w:sz="0" w:space="0" w:color="auto"/>
        <w:bottom w:val="none" w:sz="0" w:space="0" w:color="auto"/>
        <w:right w:val="none" w:sz="0" w:space="0" w:color="auto"/>
      </w:divBdr>
    </w:div>
    <w:div w:id="1763531426">
      <w:bodyDiv w:val="1"/>
      <w:marLeft w:val="0"/>
      <w:marRight w:val="0"/>
      <w:marTop w:val="0"/>
      <w:marBottom w:val="0"/>
      <w:divBdr>
        <w:top w:val="none" w:sz="0" w:space="0" w:color="auto"/>
        <w:left w:val="none" w:sz="0" w:space="0" w:color="auto"/>
        <w:bottom w:val="none" w:sz="0" w:space="0" w:color="auto"/>
        <w:right w:val="none" w:sz="0" w:space="0" w:color="auto"/>
      </w:divBdr>
    </w:div>
    <w:div w:id="1765295911">
      <w:bodyDiv w:val="1"/>
      <w:marLeft w:val="0"/>
      <w:marRight w:val="0"/>
      <w:marTop w:val="0"/>
      <w:marBottom w:val="0"/>
      <w:divBdr>
        <w:top w:val="none" w:sz="0" w:space="0" w:color="auto"/>
        <w:left w:val="none" w:sz="0" w:space="0" w:color="auto"/>
        <w:bottom w:val="none" w:sz="0" w:space="0" w:color="auto"/>
        <w:right w:val="none" w:sz="0" w:space="0" w:color="auto"/>
      </w:divBdr>
    </w:div>
    <w:div w:id="1773476420">
      <w:bodyDiv w:val="1"/>
      <w:marLeft w:val="0"/>
      <w:marRight w:val="0"/>
      <w:marTop w:val="0"/>
      <w:marBottom w:val="0"/>
      <w:divBdr>
        <w:top w:val="none" w:sz="0" w:space="0" w:color="auto"/>
        <w:left w:val="none" w:sz="0" w:space="0" w:color="auto"/>
        <w:bottom w:val="none" w:sz="0" w:space="0" w:color="auto"/>
        <w:right w:val="none" w:sz="0" w:space="0" w:color="auto"/>
      </w:divBdr>
    </w:div>
    <w:div w:id="1775199753">
      <w:bodyDiv w:val="1"/>
      <w:marLeft w:val="0"/>
      <w:marRight w:val="0"/>
      <w:marTop w:val="0"/>
      <w:marBottom w:val="0"/>
      <w:divBdr>
        <w:top w:val="none" w:sz="0" w:space="0" w:color="auto"/>
        <w:left w:val="none" w:sz="0" w:space="0" w:color="auto"/>
        <w:bottom w:val="none" w:sz="0" w:space="0" w:color="auto"/>
        <w:right w:val="none" w:sz="0" w:space="0" w:color="auto"/>
      </w:divBdr>
    </w:div>
    <w:div w:id="1779643880">
      <w:bodyDiv w:val="1"/>
      <w:marLeft w:val="0"/>
      <w:marRight w:val="0"/>
      <w:marTop w:val="0"/>
      <w:marBottom w:val="0"/>
      <w:divBdr>
        <w:top w:val="none" w:sz="0" w:space="0" w:color="auto"/>
        <w:left w:val="none" w:sz="0" w:space="0" w:color="auto"/>
        <w:bottom w:val="none" w:sz="0" w:space="0" w:color="auto"/>
        <w:right w:val="none" w:sz="0" w:space="0" w:color="auto"/>
      </w:divBdr>
    </w:div>
    <w:div w:id="1824005708">
      <w:bodyDiv w:val="1"/>
      <w:marLeft w:val="0"/>
      <w:marRight w:val="0"/>
      <w:marTop w:val="0"/>
      <w:marBottom w:val="0"/>
      <w:divBdr>
        <w:top w:val="none" w:sz="0" w:space="0" w:color="auto"/>
        <w:left w:val="none" w:sz="0" w:space="0" w:color="auto"/>
        <w:bottom w:val="none" w:sz="0" w:space="0" w:color="auto"/>
        <w:right w:val="none" w:sz="0" w:space="0" w:color="auto"/>
      </w:divBdr>
    </w:div>
    <w:div w:id="1847939264">
      <w:bodyDiv w:val="1"/>
      <w:marLeft w:val="0"/>
      <w:marRight w:val="0"/>
      <w:marTop w:val="0"/>
      <w:marBottom w:val="0"/>
      <w:divBdr>
        <w:top w:val="none" w:sz="0" w:space="0" w:color="auto"/>
        <w:left w:val="none" w:sz="0" w:space="0" w:color="auto"/>
        <w:bottom w:val="none" w:sz="0" w:space="0" w:color="auto"/>
        <w:right w:val="none" w:sz="0" w:space="0" w:color="auto"/>
      </w:divBdr>
    </w:div>
    <w:div w:id="1893954132">
      <w:bodyDiv w:val="1"/>
      <w:marLeft w:val="0"/>
      <w:marRight w:val="0"/>
      <w:marTop w:val="0"/>
      <w:marBottom w:val="0"/>
      <w:divBdr>
        <w:top w:val="none" w:sz="0" w:space="0" w:color="auto"/>
        <w:left w:val="none" w:sz="0" w:space="0" w:color="auto"/>
        <w:bottom w:val="none" w:sz="0" w:space="0" w:color="auto"/>
        <w:right w:val="none" w:sz="0" w:space="0" w:color="auto"/>
      </w:divBdr>
    </w:div>
    <w:div w:id="1904557253">
      <w:bodyDiv w:val="1"/>
      <w:marLeft w:val="0"/>
      <w:marRight w:val="0"/>
      <w:marTop w:val="0"/>
      <w:marBottom w:val="0"/>
      <w:divBdr>
        <w:top w:val="none" w:sz="0" w:space="0" w:color="auto"/>
        <w:left w:val="none" w:sz="0" w:space="0" w:color="auto"/>
        <w:bottom w:val="none" w:sz="0" w:space="0" w:color="auto"/>
        <w:right w:val="none" w:sz="0" w:space="0" w:color="auto"/>
      </w:divBdr>
    </w:div>
    <w:div w:id="1920404355">
      <w:bodyDiv w:val="1"/>
      <w:marLeft w:val="0"/>
      <w:marRight w:val="0"/>
      <w:marTop w:val="0"/>
      <w:marBottom w:val="0"/>
      <w:divBdr>
        <w:top w:val="none" w:sz="0" w:space="0" w:color="auto"/>
        <w:left w:val="none" w:sz="0" w:space="0" w:color="auto"/>
        <w:bottom w:val="none" w:sz="0" w:space="0" w:color="auto"/>
        <w:right w:val="none" w:sz="0" w:space="0" w:color="auto"/>
      </w:divBdr>
    </w:div>
    <w:div w:id="1929731684">
      <w:bodyDiv w:val="1"/>
      <w:marLeft w:val="0"/>
      <w:marRight w:val="0"/>
      <w:marTop w:val="0"/>
      <w:marBottom w:val="0"/>
      <w:divBdr>
        <w:top w:val="none" w:sz="0" w:space="0" w:color="auto"/>
        <w:left w:val="none" w:sz="0" w:space="0" w:color="auto"/>
        <w:bottom w:val="none" w:sz="0" w:space="0" w:color="auto"/>
        <w:right w:val="none" w:sz="0" w:space="0" w:color="auto"/>
      </w:divBdr>
    </w:div>
    <w:div w:id="1942057997">
      <w:bodyDiv w:val="1"/>
      <w:marLeft w:val="0"/>
      <w:marRight w:val="0"/>
      <w:marTop w:val="0"/>
      <w:marBottom w:val="0"/>
      <w:divBdr>
        <w:top w:val="none" w:sz="0" w:space="0" w:color="auto"/>
        <w:left w:val="none" w:sz="0" w:space="0" w:color="auto"/>
        <w:bottom w:val="none" w:sz="0" w:space="0" w:color="auto"/>
        <w:right w:val="none" w:sz="0" w:space="0" w:color="auto"/>
      </w:divBdr>
    </w:div>
    <w:div w:id="1942688594">
      <w:bodyDiv w:val="1"/>
      <w:marLeft w:val="0"/>
      <w:marRight w:val="0"/>
      <w:marTop w:val="0"/>
      <w:marBottom w:val="0"/>
      <w:divBdr>
        <w:top w:val="none" w:sz="0" w:space="0" w:color="auto"/>
        <w:left w:val="none" w:sz="0" w:space="0" w:color="auto"/>
        <w:bottom w:val="none" w:sz="0" w:space="0" w:color="auto"/>
        <w:right w:val="none" w:sz="0" w:space="0" w:color="auto"/>
      </w:divBdr>
    </w:div>
    <w:div w:id="1958293915">
      <w:bodyDiv w:val="1"/>
      <w:marLeft w:val="0"/>
      <w:marRight w:val="0"/>
      <w:marTop w:val="0"/>
      <w:marBottom w:val="0"/>
      <w:divBdr>
        <w:top w:val="none" w:sz="0" w:space="0" w:color="auto"/>
        <w:left w:val="none" w:sz="0" w:space="0" w:color="auto"/>
        <w:bottom w:val="none" w:sz="0" w:space="0" w:color="auto"/>
        <w:right w:val="none" w:sz="0" w:space="0" w:color="auto"/>
      </w:divBdr>
    </w:div>
    <w:div w:id="1968925231">
      <w:bodyDiv w:val="1"/>
      <w:marLeft w:val="0"/>
      <w:marRight w:val="0"/>
      <w:marTop w:val="0"/>
      <w:marBottom w:val="0"/>
      <w:divBdr>
        <w:top w:val="none" w:sz="0" w:space="0" w:color="auto"/>
        <w:left w:val="none" w:sz="0" w:space="0" w:color="auto"/>
        <w:bottom w:val="none" w:sz="0" w:space="0" w:color="auto"/>
        <w:right w:val="none" w:sz="0" w:space="0" w:color="auto"/>
      </w:divBdr>
    </w:div>
    <w:div w:id="2013877651">
      <w:bodyDiv w:val="1"/>
      <w:marLeft w:val="0"/>
      <w:marRight w:val="0"/>
      <w:marTop w:val="0"/>
      <w:marBottom w:val="0"/>
      <w:divBdr>
        <w:top w:val="none" w:sz="0" w:space="0" w:color="auto"/>
        <w:left w:val="none" w:sz="0" w:space="0" w:color="auto"/>
        <w:bottom w:val="none" w:sz="0" w:space="0" w:color="auto"/>
        <w:right w:val="none" w:sz="0" w:space="0" w:color="auto"/>
      </w:divBdr>
    </w:div>
    <w:div w:id="2064062377">
      <w:bodyDiv w:val="1"/>
      <w:marLeft w:val="0"/>
      <w:marRight w:val="0"/>
      <w:marTop w:val="0"/>
      <w:marBottom w:val="0"/>
      <w:divBdr>
        <w:top w:val="none" w:sz="0" w:space="0" w:color="auto"/>
        <w:left w:val="none" w:sz="0" w:space="0" w:color="auto"/>
        <w:bottom w:val="none" w:sz="0" w:space="0" w:color="auto"/>
        <w:right w:val="none" w:sz="0" w:space="0" w:color="auto"/>
      </w:divBdr>
    </w:div>
    <w:div w:id="2070031273">
      <w:bodyDiv w:val="1"/>
      <w:marLeft w:val="0"/>
      <w:marRight w:val="0"/>
      <w:marTop w:val="0"/>
      <w:marBottom w:val="0"/>
      <w:divBdr>
        <w:top w:val="none" w:sz="0" w:space="0" w:color="auto"/>
        <w:left w:val="none" w:sz="0" w:space="0" w:color="auto"/>
        <w:bottom w:val="none" w:sz="0" w:space="0" w:color="auto"/>
        <w:right w:val="none" w:sz="0" w:space="0" w:color="auto"/>
      </w:divBdr>
    </w:div>
    <w:div w:id="2086224930">
      <w:bodyDiv w:val="1"/>
      <w:marLeft w:val="0"/>
      <w:marRight w:val="0"/>
      <w:marTop w:val="0"/>
      <w:marBottom w:val="0"/>
      <w:divBdr>
        <w:top w:val="none" w:sz="0" w:space="0" w:color="auto"/>
        <w:left w:val="none" w:sz="0" w:space="0" w:color="auto"/>
        <w:bottom w:val="none" w:sz="0" w:space="0" w:color="auto"/>
        <w:right w:val="none" w:sz="0" w:space="0" w:color="auto"/>
      </w:divBdr>
    </w:div>
    <w:div w:id="2087801252">
      <w:bodyDiv w:val="1"/>
      <w:marLeft w:val="0"/>
      <w:marRight w:val="0"/>
      <w:marTop w:val="0"/>
      <w:marBottom w:val="0"/>
      <w:divBdr>
        <w:top w:val="none" w:sz="0" w:space="0" w:color="auto"/>
        <w:left w:val="none" w:sz="0" w:space="0" w:color="auto"/>
        <w:bottom w:val="none" w:sz="0" w:space="0" w:color="auto"/>
        <w:right w:val="none" w:sz="0" w:space="0" w:color="auto"/>
      </w:divBdr>
    </w:div>
    <w:div w:id="2095321641">
      <w:bodyDiv w:val="1"/>
      <w:marLeft w:val="0"/>
      <w:marRight w:val="0"/>
      <w:marTop w:val="0"/>
      <w:marBottom w:val="0"/>
      <w:divBdr>
        <w:top w:val="none" w:sz="0" w:space="0" w:color="auto"/>
        <w:left w:val="none" w:sz="0" w:space="0" w:color="auto"/>
        <w:bottom w:val="none" w:sz="0" w:space="0" w:color="auto"/>
        <w:right w:val="none" w:sz="0" w:space="0" w:color="auto"/>
      </w:divBdr>
    </w:div>
    <w:div w:id="2124693665">
      <w:bodyDiv w:val="1"/>
      <w:marLeft w:val="0"/>
      <w:marRight w:val="0"/>
      <w:marTop w:val="0"/>
      <w:marBottom w:val="0"/>
      <w:divBdr>
        <w:top w:val="none" w:sz="0" w:space="0" w:color="auto"/>
        <w:left w:val="none" w:sz="0" w:space="0" w:color="auto"/>
        <w:bottom w:val="none" w:sz="0" w:space="0" w:color="auto"/>
        <w:right w:val="none" w:sz="0" w:space="0" w:color="auto"/>
      </w:divBdr>
    </w:div>
    <w:div w:id="213111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1EA6616-D55B-48FE-A1B1-008D270AED5E}">
  <ds:schemaRefs>
    <ds:schemaRef ds:uri="http://schemas.microsoft.com/sharepoint/v3/contenttype/forms"/>
  </ds:schemaRefs>
</ds:datastoreItem>
</file>

<file path=customXml/itemProps2.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10A0D4E8-0BA2-495F-953A-649BDA2334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A7B7F8-4221-4247-8BF8-949E1CF30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1127</Words>
  <Characters>6425</Characters>
  <Application>Microsoft Office Word</Application>
  <DocSecurity>0</DocSecurity>
  <Lines>53</Lines>
  <Paragraphs>15</Paragraphs>
  <ScaleCrop>false</ScaleCrop>
  <Company>Intel Corporation</Company>
  <LinksUpToDate>false</LinksUpToDate>
  <CharactersWithSpaces>7537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Malik, Rafia</cp:lastModifiedBy>
  <cp:revision>5</cp:revision>
  <dcterms:created xsi:type="dcterms:W3CDTF">2022-04-25T21:45:00Z</dcterms:created>
  <dcterms:modified xsi:type="dcterms:W3CDTF">2022-04-25T21:50:00Z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